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6A798" w14:textId="77777777" w:rsidR="00B468EB" w:rsidRPr="00F36A49" w:rsidRDefault="00B468EB" w:rsidP="00B468EB">
      <w:pPr>
        <w:pStyle w:val="xmsonormal"/>
        <w:shd w:val="clear" w:color="auto" w:fill="FFFFFF"/>
        <w:spacing w:after="0" w:line="360" w:lineRule="atLeast"/>
        <w:ind w:firstLine="357"/>
        <w:jc w:val="center"/>
        <w:rPr>
          <w:rFonts w:ascii="Arial" w:hAnsi="Arial" w:cs="Arial"/>
          <w:b/>
          <w:bCs/>
          <w:sz w:val="20"/>
          <w:szCs w:val="20"/>
          <w:bdr w:val="none" w:sz="0" w:space="0" w:color="auto" w:frame="1"/>
        </w:rPr>
      </w:pPr>
      <w:r w:rsidRPr="00F36A49">
        <w:rPr>
          <w:rFonts w:ascii="Arial" w:hAnsi="Arial" w:cs="Arial"/>
          <w:b/>
          <w:bCs/>
          <w:sz w:val="20"/>
          <w:szCs w:val="20"/>
          <w:bdr w:val="none" w:sz="0" w:space="0" w:color="auto" w:frame="1"/>
        </w:rPr>
        <w:t>AAEF</w:t>
      </w:r>
    </w:p>
    <w:p w14:paraId="13283C40" w14:textId="77777777" w:rsidR="00B468EB" w:rsidRPr="00F36A49" w:rsidRDefault="00B468EB" w:rsidP="00B468EB">
      <w:pPr>
        <w:pStyle w:val="xmsonormal"/>
        <w:shd w:val="clear" w:color="auto" w:fill="FFFFFF"/>
        <w:spacing w:after="0" w:line="360" w:lineRule="atLeast"/>
        <w:ind w:firstLine="357"/>
        <w:jc w:val="center"/>
        <w:rPr>
          <w:rFonts w:ascii="Arial" w:hAnsi="Arial" w:cs="Arial"/>
          <w:b/>
          <w:bCs/>
          <w:sz w:val="20"/>
          <w:szCs w:val="20"/>
          <w:bdr w:val="none" w:sz="0" w:space="0" w:color="auto" w:frame="1"/>
        </w:rPr>
      </w:pPr>
      <w:r w:rsidRPr="00F36A49">
        <w:rPr>
          <w:rFonts w:ascii="Arial" w:hAnsi="Arial" w:cs="Arial"/>
          <w:b/>
          <w:bCs/>
          <w:sz w:val="20"/>
          <w:szCs w:val="20"/>
          <w:bdr w:val="none" w:sz="0" w:space="0" w:color="auto" w:frame="1"/>
        </w:rPr>
        <w:t>COMISIÓN DE TRIBUTOS LOCALES</w:t>
      </w:r>
    </w:p>
    <w:p w14:paraId="099C286A" w14:textId="77777777" w:rsidR="00B468EB" w:rsidRPr="00307CD2" w:rsidRDefault="00B468EB" w:rsidP="00B468EB">
      <w:pPr>
        <w:pStyle w:val="xmsonormal"/>
        <w:shd w:val="clear" w:color="auto" w:fill="FFFFFF"/>
        <w:spacing w:after="0" w:line="360" w:lineRule="atLeast"/>
        <w:ind w:firstLine="357"/>
        <w:jc w:val="center"/>
        <w:rPr>
          <w:rFonts w:ascii="Arial" w:hAnsi="Arial" w:cs="Arial"/>
          <w:b/>
          <w:bCs/>
          <w:sz w:val="20"/>
          <w:szCs w:val="20"/>
          <w:bdr w:val="none" w:sz="0" w:space="0" w:color="auto" w:frame="1"/>
        </w:rPr>
      </w:pPr>
      <w:r w:rsidRPr="00307CD2">
        <w:rPr>
          <w:rFonts w:ascii="Arial" w:hAnsi="Arial" w:cs="Arial"/>
          <w:b/>
          <w:bCs/>
          <w:sz w:val="20"/>
          <w:szCs w:val="20"/>
          <w:bdr w:val="none" w:sz="0" w:space="0" w:color="auto" w:frame="1"/>
        </w:rPr>
        <w:t>TEMARIO</w:t>
      </w:r>
    </w:p>
    <w:p w14:paraId="46C710B9" w14:textId="0B509AAC" w:rsidR="00B468EB" w:rsidRPr="00307CD2" w:rsidRDefault="00B468EB" w:rsidP="00B468EB">
      <w:pPr>
        <w:pStyle w:val="xmsonormal"/>
        <w:shd w:val="clear" w:color="auto" w:fill="FFFFFF"/>
        <w:spacing w:after="0" w:line="360" w:lineRule="atLeast"/>
        <w:ind w:firstLine="357"/>
        <w:jc w:val="center"/>
        <w:rPr>
          <w:rFonts w:ascii="Arial" w:hAnsi="Arial" w:cs="Arial"/>
          <w:b/>
          <w:bCs/>
          <w:sz w:val="20"/>
          <w:szCs w:val="20"/>
          <w:bdr w:val="none" w:sz="0" w:space="0" w:color="auto" w:frame="1"/>
        </w:rPr>
      </w:pPr>
      <w:r w:rsidRPr="00307CD2">
        <w:rPr>
          <w:rFonts w:ascii="Arial" w:hAnsi="Arial" w:cs="Arial"/>
          <w:b/>
          <w:bCs/>
          <w:sz w:val="20"/>
          <w:szCs w:val="20"/>
          <w:bdr w:val="none" w:sz="0" w:space="0" w:color="auto" w:frame="1"/>
        </w:rPr>
        <w:t xml:space="preserve">REUNIÓN – </w:t>
      </w:r>
      <w:r w:rsidR="00701F48" w:rsidRPr="00307CD2">
        <w:rPr>
          <w:rFonts w:ascii="Arial" w:hAnsi="Arial" w:cs="Arial"/>
          <w:b/>
          <w:bCs/>
          <w:sz w:val="20"/>
          <w:szCs w:val="20"/>
          <w:bdr w:val="none" w:sz="0" w:space="0" w:color="auto" w:frame="1"/>
        </w:rPr>
        <w:t>AGOSTO</w:t>
      </w:r>
      <w:r w:rsidRPr="00307CD2">
        <w:rPr>
          <w:rFonts w:ascii="Arial" w:hAnsi="Arial" w:cs="Arial"/>
          <w:b/>
          <w:bCs/>
          <w:sz w:val="20"/>
          <w:szCs w:val="20"/>
          <w:bdr w:val="none" w:sz="0" w:space="0" w:color="auto" w:frame="1"/>
        </w:rPr>
        <w:t xml:space="preserve"> 2025</w:t>
      </w:r>
    </w:p>
    <w:p w14:paraId="5D6F5BD7" w14:textId="77777777" w:rsidR="00411090" w:rsidRPr="00307CD2" w:rsidRDefault="00411090" w:rsidP="00411090">
      <w:pPr>
        <w:ind w:left="720" w:hanging="360"/>
      </w:pPr>
    </w:p>
    <w:p w14:paraId="1423310F" w14:textId="732BE516" w:rsidR="00411090" w:rsidRPr="00411090" w:rsidRDefault="00B124B2" w:rsidP="00411090">
      <w:pPr>
        <w:pStyle w:val="xgmail-msolistparagraph"/>
        <w:numPr>
          <w:ilvl w:val="0"/>
          <w:numId w:val="4"/>
        </w:numPr>
        <w:shd w:val="clear" w:color="auto" w:fill="FFFFFF"/>
        <w:spacing w:after="0" w:line="360" w:lineRule="atLeast"/>
        <w:jc w:val="both"/>
        <w:rPr>
          <w:rFonts w:ascii="Arial" w:hAnsi="Arial" w:cs="Arial"/>
          <w:b/>
          <w:bCs/>
          <w:sz w:val="20"/>
          <w:szCs w:val="20"/>
          <w:bdr w:val="none" w:sz="0" w:space="0" w:color="auto" w:frame="1"/>
        </w:rPr>
      </w:pPr>
      <w:r>
        <w:rPr>
          <w:rFonts w:ascii="Arial" w:hAnsi="Arial" w:cs="Arial"/>
          <w:b/>
          <w:bCs/>
          <w:sz w:val="20"/>
          <w:szCs w:val="20"/>
          <w:bdr w:val="none" w:sz="0" w:space="0" w:color="auto" w:frame="1"/>
        </w:rPr>
        <w:t xml:space="preserve">COMENTARIOS </w:t>
      </w:r>
      <w:proofErr w:type="gramStart"/>
      <w:r w:rsidR="00780606">
        <w:rPr>
          <w:rFonts w:ascii="Arial" w:hAnsi="Arial" w:cs="Arial"/>
          <w:b/>
          <w:bCs/>
          <w:sz w:val="20"/>
          <w:szCs w:val="20"/>
          <w:bdr w:val="none" w:sz="0" w:space="0" w:color="auto" w:frame="1"/>
        </w:rPr>
        <w:t>EN RELACIÓN A</w:t>
      </w:r>
      <w:proofErr w:type="gramEnd"/>
      <w:r w:rsidR="00780606">
        <w:rPr>
          <w:rFonts w:ascii="Arial" w:hAnsi="Arial" w:cs="Arial"/>
          <w:b/>
          <w:bCs/>
          <w:sz w:val="20"/>
          <w:szCs w:val="20"/>
          <w:bdr w:val="none" w:sz="0" w:space="0" w:color="auto" w:frame="1"/>
        </w:rPr>
        <w:t xml:space="preserve"> LA </w:t>
      </w:r>
      <w:r>
        <w:rPr>
          <w:rFonts w:ascii="Arial" w:hAnsi="Arial" w:cs="Arial"/>
          <w:b/>
          <w:bCs/>
          <w:sz w:val="20"/>
          <w:szCs w:val="20"/>
          <w:bdr w:val="none" w:sz="0" w:space="0" w:color="auto" w:frame="1"/>
        </w:rPr>
        <w:t>MESA REDONDA</w:t>
      </w:r>
      <w:r w:rsidR="00780606">
        <w:rPr>
          <w:rFonts w:ascii="Arial" w:hAnsi="Arial" w:cs="Arial"/>
          <w:b/>
          <w:bCs/>
          <w:sz w:val="20"/>
          <w:szCs w:val="20"/>
          <w:bdr w:val="none" w:sz="0" w:space="0" w:color="auto" w:frame="1"/>
        </w:rPr>
        <w:t xml:space="preserve"> ORGANIZADA JUNTO A LA</w:t>
      </w:r>
      <w:r>
        <w:rPr>
          <w:rFonts w:ascii="Arial" w:hAnsi="Arial" w:cs="Arial"/>
          <w:b/>
          <w:bCs/>
          <w:sz w:val="20"/>
          <w:szCs w:val="20"/>
          <w:bdr w:val="none" w:sz="0" w:space="0" w:color="auto" w:frame="1"/>
        </w:rPr>
        <w:t xml:space="preserve"> COMISIÓN ARBITRAL. ASIGNACIÓN DE INGRESOS</w:t>
      </w:r>
    </w:p>
    <w:p w14:paraId="611EF5E0" w14:textId="77777777" w:rsidR="00B468EB" w:rsidRPr="00307CD2" w:rsidRDefault="00B468EB" w:rsidP="002A6A59">
      <w:pPr>
        <w:ind w:left="720" w:hanging="360"/>
      </w:pPr>
    </w:p>
    <w:p w14:paraId="6B35E8EB" w14:textId="179E5E70" w:rsidR="004422C1" w:rsidRPr="00411090" w:rsidRDefault="00DC04CB" w:rsidP="00952455">
      <w:pPr>
        <w:pStyle w:val="xgmail-msolistparagraph"/>
        <w:numPr>
          <w:ilvl w:val="0"/>
          <w:numId w:val="4"/>
        </w:numPr>
        <w:shd w:val="clear" w:color="auto" w:fill="FFFFFF"/>
        <w:spacing w:after="0" w:line="360" w:lineRule="atLeast"/>
        <w:jc w:val="both"/>
        <w:rPr>
          <w:rFonts w:ascii="Arial" w:hAnsi="Arial" w:cs="Arial"/>
          <w:b/>
          <w:bCs/>
          <w:sz w:val="20"/>
          <w:szCs w:val="20"/>
          <w:bdr w:val="none" w:sz="0" w:space="0" w:color="auto" w:frame="1"/>
        </w:rPr>
      </w:pPr>
      <w:r w:rsidRPr="00411090">
        <w:rPr>
          <w:rFonts w:ascii="Arial" w:hAnsi="Arial" w:cs="Arial"/>
          <w:b/>
          <w:bCs/>
          <w:sz w:val="20"/>
          <w:szCs w:val="20"/>
          <w:bdr w:val="none" w:sz="0" w:space="0" w:color="auto" w:frame="1"/>
        </w:rPr>
        <w:t xml:space="preserve">DICTAMEN </w:t>
      </w:r>
      <w:r w:rsidR="00701F48" w:rsidRPr="00411090">
        <w:rPr>
          <w:rFonts w:ascii="Arial" w:hAnsi="Arial" w:cs="Arial"/>
          <w:b/>
          <w:bCs/>
          <w:sz w:val="20"/>
          <w:szCs w:val="20"/>
          <w:bdr w:val="none" w:sz="0" w:space="0" w:color="auto" w:frame="1"/>
        </w:rPr>
        <w:t>AGIP</w:t>
      </w:r>
      <w:r w:rsidR="00B729BF" w:rsidRPr="00411090">
        <w:rPr>
          <w:rFonts w:ascii="Arial" w:hAnsi="Arial" w:cs="Arial"/>
          <w:b/>
          <w:bCs/>
          <w:sz w:val="20"/>
          <w:szCs w:val="20"/>
          <w:bdr w:val="none" w:sz="0" w:space="0" w:color="auto" w:frame="1"/>
        </w:rPr>
        <w:t xml:space="preserve">. </w:t>
      </w:r>
      <w:r w:rsidR="00411090" w:rsidRPr="00411090">
        <w:rPr>
          <w:rFonts w:ascii="Arial" w:hAnsi="Arial" w:cs="Arial"/>
          <w:b/>
          <w:bCs/>
          <w:sz w:val="20"/>
          <w:szCs w:val="20"/>
          <w:bdr w:val="none" w:sz="0" w:space="0" w:color="auto" w:frame="1"/>
        </w:rPr>
        <w:t>IF-2025-24494798-GCABA-DGANFA- REINTEGRO DE IMPUESTO DE SELLOS - DACIÓN EN PAGO- COMPRAVENTA DE INMUEBLE A CONSTRUIR EN EXTRAÑA JURISDICCIÓN</w:t>
      </w:r>
    </w:p>
    <w:p w14:paraId="16622A24" w14:textId="2A2CADA0" w:rsidR="00307CD2" w:rsidRPr="00B124B2" w:rsidRDefault="0015554C" w:rsidP="00CB6581">
      <w:pPr>
        <w:spacing w:line="360" w:lineRule="atLeast"/>
        <w:jc w:val="both"/>
        <w:rPr>
          <w:rFonts w:ascii="Arial" w:hAnsi="Arial" w:cs="Arial"/>
          <w:sz w:val="20"/>
          <w:szCs w:val="20"/>
        </w:rPr>
      </w:pPr>
      <w:r w:rsidRPr="00B124B2">
        <w:rPr>
          <w:rFonts w:ascii="Arial" w:hAnsi="Arial" w:cs="Arial"/>
          <w:sz w:val="20"/>
          <w:szCs w:val="20"/>
        </w:rPr>
        <w:t>Devolución del Impuesto de sellos.  Contrato de Fideicomiso. Dación en Pago</w:t>
      </w:r>
      <w:r w:rsidR="00307CD2" w:rsidRPr="00B124B2">
        <w:rPr>
          <w:rFonts w:ascii="Arial" w:hAnsi="Arial" w:cs="Arial"/>
          <w:sz w:val="20"/>
          <w:szCs w:val="20"/>
        </w:rPr>
        <w:t>. Territoria</w:t>
      </w:r>
      <w:r w:rsidR="00B729BF" w:rsidRPr="00B124B2">
        <w:rPr>
          <w:rFonts w:ascii="Arial" w:hAnsi="Arial" w:cs="Arial"/>
          <w:sz w:val="20"/>
          <w:szCs w:val="20"/>
        </w:rPr>
        <w:t>lidad. Bienes ubicados fuera de la jurisdicción.</w:t>
      </w:r>
    </w:p>
    <w:p w14:paraId="06255F8D" w14:textId="77777777" w:rsidR="00307CD2" w:rsidRDefault="00307CD2" w:rsidP="00CB6581">
      <w:pPr>
        <w:spacing w:line="360" w:lineRule="atLeast"/>
        <w:jc w:val="both"/>
        <w:rPr>
          <w:rFonts w:ascii="Arial" w:hAnsi="Arial" w:cs="Arial"/>
          <w:b/>
          <w:bCs/>
          <w:sz w:val="20"/>
          <w:szCs w:val="20"/>
        </w:rPr>
      </w:pPr>
    </w:p>
    <w:p w14:paraId="3BBE85D0" w14:textId="799F06DF" w:rsidR="00373B73" w:rsidRPr="00307CD2" w:rsidRDefault="001B5503" w:rsidP="001B5503">
      <w:pPr>
        <w:pStyle w:val="ListParagraph"/>
        <w:numPr>
          <w:ilvl w:val="0"/>
          <w:numId w:val="5"/>
        </w:numPr>
        <w:spacing w:line="360" w:lineRule="atLeast"/>
        <w:jc w:val="both"/>
        <w:rPr>
          <w:rFonts w:ascii="Arial" w:hAnsi="Arial" w:cs="Arial"/>
          <w:b/>
          <w:bCs/>
          <w:sz w:val="20"/>
          <w:szCs w:val="20"/>
        </w:rPr>
      </w:pPr>
      <w:r w:rsidRPr="00307CD2">
        <w:rPr>
          <w:rFonts w:ascii="Arial" w:hAnsi="Arial" w:cs="Arial"/>
          <w:b/>
          <w:bCs/>
          <w:sz w:val="20"/>
          <w:szCs w:val="20"/>
        </w:rPr>
        <w:t>JURISPRUDENCIA JUDICIAL</w:t>
      </w:r>
    </w:p>
    <w:p w14:paraId="2D0E75E6" w14:textId="745671A9" w:rsidR="0073545C" w:rsidRPr="00701F48" w:rsidRDefault="0073545C" w:rsidP="00510611">
      <w:pPr>
        <w:pStyle w:val="xmsonormal"/>
        <w:numPr>
          <w:ilvl w:val="0"/>
          <w:numId w:val="4"/>
        </w:numPr>
        <w:shd w:val="clear" w:color="auto" w:fill="FFFFFF"/>
        <w:spacing w:after="0" w:line="360" w:lineRule="atLeast"/>
        <w:jc w:val="both"/>
        <w:rPr>
          <w:rFonts w:ascii="Arial" w:hAnsi="Arial" w:cs="Arial"/>
          <w:b/>
          <w:bCs/>
          <w:sz w:val="20"/>
          <w:szCs w:val="20"/>
          <w:bdr w:val="none" w:sz="0" w:space="0" w:color="auto" w:frame="1"/>
        </w:rPr>
      </w:pPr>
      <w:r w:rsidRPr="00701F48">
        <w:rPr>
          <w:rFonts w:ascii="Arial" w:hAnsi="Arial" w:cs="Arial"/>
          <w:b/>
          <w:bCs/>
          <w:sz w:val="20"/>
          <w:szCs w:val="20"/>
          <w:bdr w:val="none" w:sz="0" w:space="0" w:color="auto" w:frame="1"/>
        </w:rPr>
        <w:t>Corte Suprema de Justicia de la Nación</w:t>
      </w:r>
      <w:r w:rsidR="008D38D7" w:rsidRPr="00701F48">
        <w:rPr>
          <w:rFonts w:ascii="Arial" w:hAnsi="Arial" w:cs="Arial"/>
          <w:b/>
          <w:bCs/>
          <w:sz w:val="20"/>
          <w:szCs w:val="20"/>
          <w:bdr w:val="none" w:sz="0" w:space="0" w:color="auto" w:frame="1"/>
        </w:rPr>
        <w:t>, “</w:t>
      </w:r>
      <w:r w:rsidR="00701F48" w:rsidRPr="00701F48">
        <w:rPr>
          <w:rFonts w:ascii="Arial" w:hAnsi="Arial" w:cs="Arial"/>
          <w:b/>
          <w:bCs/>
          <w:sz w:val="20"/>
          <w:szCs w:val="20"/>
          <w:bdr w:val="none" w:sz="0" w:space="0" w:color="auto" w:frame="1"/>
        </w:rPr>
        <w:t>Refinería del Norte S.A. c/ Municipalidad de La Banda del Río Salí s/ inconstitucionalidad</w:t>
      </w:r>
      <w:r w:rsidR="001734BD" w:rsidRPr="00701F48">
        <w:rPr>
          <w:rFonts w:ascii="Arial" w:hAnsi="Arial" w:cs="Arial"/>
          <w:b/>
          <w:bCs/>
          <w:sz w:val="20"/>
          <w:szCs w:val="20"/>
          <w:bdr w:val="none" w:sz="0" w:space="0" w:color="auto" w:frame="1"/>
        </w:rPr>
        <w:t>.</w:t>
      </w:r>
      <w:r w:rsidR="008D38D7" w:rsidRPr="00701F48">
        <w:rPr>
          <w:rFonts w:ascii="Arial" w:hAnsi="Arial" w:cs="Arial"/>
          <w:b/>
          <w:bCs/>
          <w:sz w:val="20"/>
          <w:szCs w:val="20"/>
          <w:bdr w:val="none" w:sz="0" w:space="0" w:color="auto" w:frame="1"/>
        </w:rPr>
        <w:t>”</w:t>
      </w:r>
      <w:r w:rsidR="007C1933" w:rsidRPr="00701F48">
        <w:rPr>
          <w:rFonts w:ascii="Arial" w:hAnsi="Arial" w:cs="Arial"/>
          <w:b/>
          <w:bCs/>
          <w:i/>
          <w:iCs/>
          <w:sz w:val="20"/>
          <w:szCs w:val="20"/>
          <w:bdr w:val="none" w:sz="0" w:space="0" w:color="auto" w:frame="1"/>
        </w:rPr>
        <w:t xml:space="preserve">. </w:t>
      </w:r>
      <w:r w:rsidR="00701F48">
        <w:rPr>
          <w:rFonts w:ascii="Arial" w:hAnsi="Arial" w:cs="Arial"/>
          <w:b/>
          <w:bCs/>
          <w:sz w:val="20"/>
          <w:szCs w:val="20"/>
          <w:bdr w:val="none" w:sz="0" w:space="0" w:color="auto" w:frame="1"/>
        </w:rPr>
        <w:t>25</w:t>
      </w:r>
      <w:r w:rsidR="007C1933" w:rsidRPr="00701F48">
        <w:rPr>
          <w:rFonts w:ascii="Arial" w:hAnsi="Arial" w:cs="Arial"/>
          <w:b/>
          <w:bCs/>
          <w:sz w:val="20"/>
          <w:szCs w:val="20"/>
          <w:bdr w:val="none" w:sz="0" w:space="0" w:color="auto" w:frame="1"/>
        </w:rPr>
        <w:t>/0</w:t>
      </w:r>
      <w:r w:rsidR="001734BD" w:rsidRPr="00701F48">
        <w:rPr>
          <w:rFonts w:ascii="Arial" w:hAnsi="Arial" w:cs="Arial"/>
          <w:b/>
          <w:bCs/>
          <w:sz w:val="20"/>
          <w:szCs w:val="20"/>
          <w:bdr w:val="none" w:sz="0" w:space="0" w:color="auto" w:frame="1"/>
        </w:rPr>
        <w:t>6</w:t>
      </w:r>
      <w:r w:rsidR="007C1933" w:rsidRPr="00701F48">
        <w:rPr>
          <w:rFonts w:ascii="Arial" w:hAnsi="Arial" w:cs="Arial"/>
          <w:b/>
          <w:bCs/>
          <w:sz w:val="20"/>
          <w:szCs w:val="20"/>
          <w:bdr w:val="none" w:sz="0" w:space="0" w:color="auto" w:frame="1"/>
        </w:rPr>
        <w:t>/2025</w:t>
      </w:r>
      <w:r w:rsidR="001734BD" w:rsidRPr="00701F48">
        <w:rPr>
          <w:rFonts w:ascii="Arial" w:hAnsi="Arial" w:cs="Arial"/>
          <w:b/>
          <w:bCs/>
          <w:sz w:val="20"/>
          <w:szCs w:val="20"/>
          <w:bdr w:val="none" w:sz="0" w:space="0" w:color="auto" w:frame="1"/>
        </w:rPr>
        <w:t>.</w:t>
      </w:r>
      <w:r w:rsidR="009D482B" w:rsidRPr="009D482B">
        <w:t xml:space="preserve"> </w:t>
      </w:r>
      <w:r w:rsidR="009D482B" w:rsidRPr="009D482B">
        <w:rPr>
          <w:rFonts w:ascii="Arial" w:hAnsi="Arial" w:cs="Arial"/>
          <w:b/>
          <w:bCs/>
          <w:sz w:val="20"/>
          <w:szCs w:val="20"/>
          <w:bdr w:val="none" w:sz="0" w:space="0" w:color="auto" w:frame="1"/>
        </w:rPr>
        <w:t>FACULTADES IMPOSITIVAS DE LA NACION, PROVINCIAS Y MUNICIPALIDADES - COPARTICIPACION DE IMPUESTOS - FEDERALISMO DE CONCERTACION</w:t>
      </w:r>
    </w:p>
    <w:p w14:paraId="3F9CC3F5" w14:textId="21E43F29" w:rsidR="00AC1BE0" w:rsidRDefault="00AC1BE0" w:rsidP="00E75F9B">
      <w:pPr>
        <w:spacing w:line="360" w:lineRule="atLeast"/>
        <w:jc w:val="both"/>
        <w:rPr>
          <w:rFonts w:ascii="Arial" w:hAnsi="Arial" w:cs="Arial"/>
          <w:sz w:val="20"/>
          <w:szCs w:val="20"/>
        </w:rPr>
      </w:pPr>
      <w:r>
        <w:rPr>
          <w:rFonts w:ascii="Arial" w:hAnsi="Arial" w:cs="Arial"/>
          <w:sz w:val="20"/>
          <w:szCs w:val="20"/>
        </w:rPr>
        <w:t>Se interpuso recurso extraordinario contra l</w:t>
      </w:r>
      <w:r w:rsidR="009D482B" w:rsidRPr="009D482B">
        <w:rPr>
          <w:rFonts w:ascii="Arial" w:hAnsi="Arial" w:cs="Arial"/>
          <w:sz w:val="20"/>
          <w:szCs w:val="20"/>
        </w:rPr>
        <w:t>a sentencia que rechazó el pedido de declaración de inconstitucionalidad del Código Tributario del Municipio de La Banda del Río Salí, Tucumán -en cuanto establece el tributo económico de emergencia</w:t>
      </w:r>
      <w:r>
        <w:rPr>
          <w:rFonts w:ascii="Arial" w:hAnsi="Arial" w:cs="Arial"/>
          <w:sz w:val="20"/>
          <w:szCs w:val="20"/>
        </w:rPr>
        <w:t>.</w:t>
      </w:r>
    </w:p>
    <w:p w14:paraId="05030819" w14:textId="29529480" w:rsidR="009D482B" w:rsidRDefault="00AC1BE0" w:rsidP="00E75F9B">
      <w:pPr>
        <w:spacing w:line="360" w:lineRule="atLeast"/>
        <w:jc w:val="both"/>
        <w:rPr>
          <w:rFonts w:ascii="Arial" w:hAnsi="Arial" w:cs="Arial"/>
          <w:sz w:val="20"/>
          <w:szCs w:val="20"/>
        </w:rPr>
      </w:pPr>
      <w:r>
        <w:rPr>
          <w:rFonts w:ascii="Arial" w:hAnsi="Arial" w:cs="Arial"/>
          <w:sz w:val="20"/>
          <w:szCs w:val="20"/>
        </w:rPr>
        <w:t>La CSJN entendió que la sentencia</w:t>
      </w:r>
      <w:r w:rsidR="009D482B" w:rsidRPr="009D482B">
        <w:rPr>
          <w:rFonts w:ascii="Arial" w:hAnsi="Arial" w:cs="Arial"/>
          <w:sz w:val="20"/>
          <w:szCs w:val="20"/>
        </w:rPr>
        <w:t xml:space="preserve"> es arbitraria, pues se fundamenta en que los municipios no están sujetos a las limitaciones tributarias asumidas por la provincia al adherir a regímenes de coparticipación en razón de que la propia Constitución de Tucumán les reconoce la potestad de crear tributos, derivando de ello facultades tributarias autónomas no constreñidas por los compromisos provinciales, lo que resulta una afirmación carente totalmente de apoyo normativo y, a la vez, supone un erróneo encuadre de las cuestiones discutidas que elude el tratamiento de los planteos referidos a la eventual invalidez del tributo impugnado bajo las normas de las leyes 23.966 y 23.548</w:t>
      </w:r>
      <w:r w:rsidR="009D482B">
        <w:rPr>
          <w:rFonts w:ascii="Arial" w:hAnsi="Arial" w:cs="Arial"/>
          <w:sz w:val="20"/>
          <w:szCs w:val="20"/>
        </w:rPr>
        <w:t>.</w:t>
      </w:r>
    </w:p>
    <w:p w14:paraId="253FFD22" w14:textId="37896DFF" w:rsidR="003A1A06" w:rsidRDefault="006C2879" w:rsidP="006C2879">
      <w:pPr>
        <w:spacing w:line="360" w:lineRule="atLeast"/>
        <w:jc w:val="both"/>
        <w:rPr>
          <w:rFonts w:ascii="Arial" w:hAnsi="Arial" w:cs="Arial"/>
          <w:sz w:val="20"/>
          <w:szCs w:val="20"/>
        </w:rPr>
      </w:pPr>
      <w:r w:rsidRPr="006C2879">
        <w:rPr>
          <w:rFonts w:ascii="Arial" w:hAnsi="Arial" w:cs="Arial"/>
          <w:sz w:val="20"/>
          <w:szCs w:val="20"/>
        </w:rPr>
        <w:lastRenderedPageBreak/>
        <w:t>La interpretación efectuada por el a quo no solo no respeta la letra</w:t>
      </w:r>
      <w:r>
        <w:rPr>
          <w:rFonts w:ascii="Arial" w:hAnsi="Arial" w:cs="Arial"/>
          <w:sz w:val="20"/>
          <w:szCs w:val="20"/>
        </w:rPr>
        <w:t xml:space="preserve"> </w:t>
      </w:r>
      <w:r w:rsidRPr="006C2879">
        <w:rPr>
          <w:rFonts w:ascii="Arial" w:hAnsi="Arial" w:cs="Arial"/>
          <w:sz w:val="20"/>
          <w:szCs w:val="20"/>
        </w:rPr>
        <w:t>clara del artículo 135, inciso 1°, de la Constitución de la Provincia de Tucumán</w:t>
      </w:r>
      <w:r>
        <w:rPr>
          <w:rFonts w:ascii="Arial" w:hAnsi="Arial" w:cs="Arial"/>
          <w:sz w:val="20"/>
          <w:szCs w:val="20"/>
        </w:rPr>
        <w:t xml:space="preserve"> </w:t>
      </w:r>
      <w:r w:rsidRPr="006C2879">
        <w:rPr>
          <w:rFonts w:ascii="Arial" w:hAnsi="Arial" w:cs="Arial"/>
          <w:sz w:val="20"/>
          <w:szCs w:val="20"/>
        </w:rPr>
        <w:t>—que exige que los tributos municipales se encuentren “en armonía con el</w:t>
      </w:r>
      <w:r>
        <w:rPr>
          <w:rFonts w:ascii="Arial" w:hAnsi="Arial" w:cs="Arial"/>
          <w:sz w:val="20"/>
          <w:szCs w:val="20"/>
        </w:rPr>
        <w:t xml:space="preserve"> </w:t>
      </w:r>
      <w:r w:rsidRPr="006C2879">
        <w:rPr>
          <w:rFonts w:ascii="Arial" w:hAnsi="Arial" w:cs="Arial"/>
          <w:sz w:val="20"/>
          <w:szCs w:val="20"/>
        </w:rPr>
        <w:t>régimen impositivo provincial y federal”—, sino que se sustenta en una lectura</w:t>
      </w:r>
      <w:r>
        <w:rPr>
          <w:rFonts w:ascii="Arial" w:hAnsi="Arial" w:cs="Arial"/>
          <w:sz w:val="20"/>
          <w:szCs w:val="20"/>
        </w:rPr>
        <w:t xml:space="preserve"> </w:t>
      </w:r>
      <w:r w:rsidRPr="006C2879">
        <w:rPr>
          <w:rFonts w:ascii="Arial" w:hAnsi="Arial" w:cs="Arial"/>
          <w:sz w:val="20"/>
          <w:szCs w:val="20"/>
        </w:rPr>
        <w:t>groseramente equivocada de dicha norma al afirmar que la potestad tributaria de</w:t>
      </w:r>
      <w:r>
        <w:rPr>
          <w:rFonts w:ascii="Arial" w:hAnsi="Arial" w:cs="Arial"/>
          <w:sz w:val="20"/>
          <w:szCs w:val="20"/>
        </w:rPr>
        <w:t xml:space="preserve"> </w:t>
      </w:r>
      <w:r w:rsidRPr="006C2879">
        <w:rPr>
          <w:rFonts w:ascii="Arial" w:hAnsi="Arial" w:cs="Arial"/>
          <w:sz w:val="20"/>
          <w:szCs w:val="20"/>
        </w:rPr>
        <w:t>los municipios “se encuentra subordinada a que la misma sea aplicada ‘en</w:t>
      </w:r>
      <w:r>
        <w:rPr>
          <w:rFonts w:ascii="Arial" w:hAnsi="Arial" w:cs="Arial"/>
          <w:sz w:val="20"/>
          <w:szCs w:val="20"/>
        </w:rPr>
        <w:t xml:space="preserve"> </w:t>
      </w:r>
      <w:r w:rsidRPr="006C2879">
        <w:rPr>
          <w:rFonts w:ascii="Arial" w:hAnsi="Arial" w:cs="Arial"/>
          <w:sz w:val="20"/>
          <w:szCs w:val="20"/>
        </w:rPr>
        <w:t>armonía con el régimen impositivo provincial y municipal’ (art. 135, inc. 1,</w:t>
      </w:r>
      <w:r>
        <w:rPr>
          <w:rFonts w:ascii="Arial" w:hAnsi="Arial" w:cs="Arial"/>
          <w:sz w:val="20"/>
          <w:szCs w:val="20"/>
        </w:rPr>
        <w:t xml:space="preserve"> </w:t>
      </w:r>
      <w:r w:rsidRPr="006C2879">
        <w:rPr>
          <w:rFonts w:ascii="Arial" w:hAnsi="Arial" w:cs="Arial"/>
          <w:sz w:val="20"/>
          <w:szCs w:val="20"/>
        </w:rPr>
        <w:t>última parte)”. La sentencia se refiere en el párrafo recién transcripto al régimen</w:t>
      </w:r>
      <w:r>
        <w:rPr>
          <w:rFonts w:ascii="Arial" w:hAnsi="Arial" w:cs="Arial"/>
          <w:sz w:val="20"/>
          <w:szCs w:val="20"/>
        </w:rPr>
        <w:t xml:space="preserve"> </w:t>
      </w:r>
      <w:r w:rsidRPr="006C2879">
        <w:rPr>
          <w:rFonts w:ascii="Arial" w:hAnsi="Arial" w:cs="Arial"/>
          <w:sz w:val="20"/>
          <w:szCs w:val="20"/>
        </w:rPr>
        <w:t>impositivo “municipal” en lugar del “federal”, que es el mencionado por la</w:t>
      </w:r>
      <w:r>
        <w:rPr>
          <w:rFonts w:ascii="Arial" w:hAnsi="Arial" w:cs="Arial"/>
          <w:sz w:val="20"/>
          <w:szCs w:val="20"/>
        </w:rPr>
        <w:t xml:space="preserve"> </w:t>
      </w:r>
      <w:r w:rsidRPr="006C2879">
        <w:rPr>
          <w:rFonts w:ascii="Arial" w:hAnsi="Arial" w:cs="Arial"/>
          <w:sz w:val="20"/>
          <w:szCs w:val="20"/>
        </w:rPr>
        <w:t>norma constitucional, tergiversando su recto sentido incurriendo, de ese modo,</w:t>
      </w:r>
      <w:r w:rsidR="00852AA4">
        <w:rPr>
          <w:rFonts w:ascii="Arial" w:hAnsi="Arial" w:cs="Arial"/>
          <w:sz w:val="20"/>
          <w:szCs w:val="20"/>
        </w:rPr>
        <w:t xml:space="preserve"> </w:t>
      </w:r>
      <w:r w:rsidRPr="006C2879">
        <w:rPr>
          <w:rFonts w:ascii="Arial" w:hAnsi="Arial" w:cs="Arial"/>
          <w:sz w:val="20"/>
          <w:szCs w:val="20"/>
        </w:rPr>
        <w:t>en el contrasentido de sostener que el municipio se encuentra subordinado a su</w:t>
      </w:r>
      <w:r w:rsidR="00852AA4">
        <w:rPr>
          <w:rFonts w:ascii="Arial" w:hAnsi="Arial" w:cs="Arial"/>
          <w:sz w:val="20"/>
          <w:szCs w:val="20"/>
        </w:rPr>
        <w:t xml:space="preserve"> </w:t>
      </w:r>
      <w:r w:rsidRPr="006C2879">
        <w:rPr>
          <w:rFonts w:ascii="Arial" w:hAnsi="Arial" w:cs="Arial"/>
          <w:sz w:val="20"/>
          <w:szCs w:val="20"/>
        </w:rPr>
        <w:t>propio régimen impositivo, cuando en realidad su subordinación es al</w:t>
      </w:r>
      <w:r w:rsidR="00852AA4">
        <w:rPr>
          <w:rFonts w:ascii="Arial" w:hAnsi="Arial" w:cs="Arial"/>
          <w:sz w:val="20"/>
          <w:szCs w:val="20"/>
        </w:rPr>
        <w:t xml:space="preserve"> </w:t>
      </w:r>
      <w:r w:rsidRPr="006C2879">
        <w:rPr>
          <w:rFonts w:ascii="Arial" w:hAnsi="Arial" w:cs="Arial"/>
          <w:sz w:val="20"/>
          <w:szCs w:val="20"/>
        </w:rPr>
        <w:t>federalismo fiscal de concertación</w:t>
      </w:r>
      <w:r w:rsidR="00852AA4">
        <w:rPr>
          <w:rFonts w:ascii="Arial" w:hAnsi="Arial" w:cs="Arial"/>
          <w:sz w:val="20"/>
          <w:szCs w:val="20"/>
        </w:rPr>
        <w:t>.</w:t>
      </w:r>
    </w:p>
    <w:p w14:paraId="5E0707E3" w14:textId="77777777" w:rsidR="00AA0950" w:rsidRDefault="00AA0950" w:rsidP="00AA0950">
      <w:pPr>
        <w:spacing w:line="360" w:lineRule="atLeast"/>
        <w:jc w:val="both"/>
        <w:rPr>
          <w:rFonts w:ascii="Arial" w:hAnsi="Arial" w:cs="Arial"/>
          <w:sz w:val="20"/>
          <w:szCs w:val="20"/>
        </w:rPr>
      </w:pPr>
    </w:p>
    <w:p w14:paraId="14C956F5" w14:textId="66AB89A2" w:rsidR="007374D4" w:rsidRPr="001538D8" w:rsidRDefault="008F3031" w:rsidP="00623948">
      <w:pPr>
        <w:pStyle w:val="ListParagraph"/>
        <w:numPr>
          <w:ilvl w:val="0"/>
          <w:numId w:val="4"/>
        </w:numPr>
        <w:spacing w:line="360" w:lineRule="atLeast"/>
        <w:jc w:val="both"/>
        <w:rPr>
          <w:rFonts w:ascii="Arial" w:hAnsi="Arial" w:cs="Arial"/>
          <w:sz w:val="20"/>
          <w:szCs w:val="20"/>
        </w:rPr>
      </w:pPr>
      <w:r w:rsidRPr="001538D8">
        <w:rPr>
          <w:rFonts w:ascii="Arial" w:hAnsi="Arial" w:cs="Arial"/>
          <w:b/>
          <w:bCs/>
          <w:sz w:val="20"/>
          <w:szCs w:val="20"/>
        </w:rPr>
        <w:t>Procuración General de la Nación</w:t>
      </w:r>
      <w:r w:rsidR="001538D8" w:rsidRPr="001538D8">
        <w:rPr>
          <w:rFonts w:ascii="Arial" w:hAnsi="Arial" w:cs="Arial"/>
          <w:b/>
          <w:bCs/>
          <w:sz w:val="20"/>
          <w:szCs w:val="20"/>
        </w:rPr>
        <w:t xml:space="preserve"> “</w:t>
      </w:r>
      <w:r w:rsidRPr="008F3031">
        <w:rPr>
          <w:rFonts w:ascii="Arial" w:hAnsi="Arial" w:cs="Arial"/>
          <w:b/>
          <w:bCs/>
          <w:sz w:val="20"/>
          <w:szCs w:val="20"/>
        </w:rPr>
        <w:t>CREMER Y ASOCIADOS S.A. C/ MUNICIPALIDAD DE ARROYO SECO</w:t>
      </w:r>
      <w:r w:rsidR="001538D8" w:rsidRPr="001538D8">
        <w:rPr>
          <w:rFonts w:ascii="Arial" w:hAnsi="Arial" w:cs="Arial"/>
          <w:b/>
          <w:bCs/>
          <w:sz w:val="20"/>
          <w:szCs w:val="20"/>
        </w:rPr>
        <w:t>”</w:t>
      </w:r>
      <w:r w:rsidR="001538D8">
        <w:rPr>
          <w:rFonts w:ascii="Arial" w:hAnsi="Arial" w:cs="Arial"/>
          <w:b/>
          <w:bCs/>
          <w:sz w:val="20"/>
          <w:szCs w:val="20"/>
        </w:rPr>
        <w:t xml:space="preserve">, </w:t>
      </w:r>
      <w:r w:rsidR="005E19ED">
        <w:rPr>
          <w:rFonts w:ascii="Arial" w:hAnsi="Arial" w:cs="Arial"/>
          <w:b/>
          <w:bCs/>
          <w:sz w:val="20"/>
          <w:szCs w:val="20"/>
        </w:rPr>
        <w:t>11/7/2025.</w:t>
      </w:r>
      <w:r w:rsidR="007D6EEF" w:rsidRPr="001538D8">
        <w:rPr>
          <w:rFonts w:ascii="Arial" w:hAnsi="Arial" w:cs="Arial"/>
          <w:b/>
          <w:bCs/>
          <w:sz w:val="20"/>
          <w:szCs w:val="20"/>
        </w:rPr>
        <w:t xml:space="preserve"> </w:t>
      </w:r>
    </w:p>
    <w:p w14:paraId="477792BB" w14:textId="77777777" w:rsidR="005E19ED" w:rsidRDefault="005E19ED" w:rsidP="005E19ED">
      <w:pPr>
        <w:pStyle w:val="ListParagraph"/>
        <w:spacing w:line="360" w:lineRule="atLeast"/>
        <w:ind w:left="0"/>
        <w:jc w:val="both"/>
        <w:rPr>
          <w:rFonts w:ascii="Arial" w:hAnsi="Arial" w:cs="Arial"/>
          <w:sz w:val="20"/>
          <w:szCs w:val="20"/>
        </w:rPr>
      </w:pPr>
    </w:p>
    <w:p w14:paraId="7CA2CFAB" w14:textId="77777777" w:rsidR="0091040C" w:rsidRDefault="00D4007A" w:rsidP="005E19ED">
      <w:pPr>
        <w:pStyle w:val="ListParagraph"/>
        <w:spacing w:line="360" w:lineRule="atLeast"/>
        <w:ind w:left="0"/>
        <w:jc w:val="both"/>
        <w:rPr>
          <w:rFonts w:ascii="Arial" w:hAnsi="Arial" w:cs="Arial"/>
          <w:sz w:val="20"/>
          <w:szCs w:val="20"/>
        </w:rPr>
      </w:pPr>
      <w:r>
        <w:rPr>
          <w:rFonts w:ascii="Arial" w:hAnsi="Arial" w:cs="Arial"/>
          <w:sz w:val="20"/>
          <w:szCs w:val="20"/>
        </w:rPr>
        <w:t>L</w:t>
      </w:r>
      <w:r w:rsidRPr="00D4007A">
        <w:rPr>
          <w:rFonts w:ascii="Arial" w:hAnsi="Arial" w:cs="Arial"/>
          <w:sz w:val="20"/>
          <w:szCs w:val="20"/>
        </w:rPr>
        <w:t xml:space="preserve">a Cámara </w:t>
      </w:r>
      <w:r>
        <w:rPr>
          <w:rFonts w:ascii="Arial" w:hAnsi="Arial" w:cs="Arial"/>
          <w:sz w:val="20"/>
          <w:szCs w:val="20"/>
        </w:rPr>
        <w:t xml:space="preserve">para rechazar el recurso </w:t>
      </w:r>
      <w:r w:rsidRPr="00D4007A">
        <w:rPr>
          <w:rFonts w:ascii="Arial" w:hAnsi="Arial" w:cs="Arial"/>
          <w:sz w:val="20"/>
          <w:szCs w:val="20"/>
        </w:rPr>
        <w:t>tuvo en cuenta</w:t>
      </w:r>
      <w:r>
        <w:rPr>
          <w:rFonts w:ascii="Arial" w:hAnsi="Arial" w:cs="Arial"/>
          <w:sz w:val="20"/>
          <w:szCs w:val="20"/>
        </w:rPr>
        <w:t xml:space="preserve"> </w:t>
      </w:r>
      <w:r w:rsidRPr="00D4007A">
        <w:rPr>
          <w:rFonts w:ascii="Arial" w:hAnsi="Arial" w:cs="Arial"/>
          <w:sz w:val="20"/>
          <w:szCs w:val="20"/>
        </w:rPr>
        <w:t>tanto el informe de la Jefa División Gobierno de la</w:t>
      </w:r>
      <w:r>
        <w:rPr>
          <w:rFonts w:ascii="Arial" w:hAnsi="Arial" w:cs="Arial"/>
          <w:sz w:val="20"/>
          <w:szCs w:val="20"/>
        </w:rPr>
        <w:t xml:space="preserve"> </w:t>
      </w:r>
      <w:r w:rsidRPr="00D4007A">
        <w:rPr>
          <w:rFonts w:ascii="Arial" w:hAnsi="Arial" w:cs="Arial"/>
          <w:sz w:val="20"/>
          <w:szCs w:val="20"/>
        </w:rPr>
        <w:t>Municipalidad de Arroyo Seco -quien había afirmado que las</w:t>
      </w:r>
      <w:r>
        <w:rPr>
          <w:rFonts w:ascii="Arial" w:hAnsi="Arial" w:cs="Arial"/>
          <w:sz w:val="20"/>
          <w:szCs w:val="20"/>
        </w:rPr>
        <w:t xml:space="preserve"> </w:t>
      </w:r>
      <w:r w:rsidRPr="00D4007A">
        <w:rPr>
          <w:rFonts w:ascii="Arial" w:hAnsi="Arial" w:cs="Arial"/>
          <w:sz w:val="20"/>
          <w:szCs w:val="20"/>
        </w:rPr>
        <w:t>ordenanzas tributarias de los años 2016 y 2017 habían sido</w:t>
      </w:r>
      <w:r>
        <w:rPr>
          <w:rFonts w:ascii="Arial" w:hAnsi="Arial" w:cs="Arial"/>
          <w:sz w:val="20"/>
          <w:szCs w:val="20"/>
        </w:rPr>
        <w:t xml:space="preserve"> </w:t>
      </w:r>
      <w:r w:rsidRPr="00D4007A">
        <w:rPr>
          <w:rFonts w:ascii="Arial" w:hAnsi="Arial" w:cs="Arial"/>
          <w:sz w:val="20"/>
          <w:szCs w:val="20"/>
        </w:rPr>
        <w:t>publicadas debidamente en el transparente de la Mesa de Entradas</w:t>
      </w:r>
      <w:r>
        <w:rPr>
          <w:rFonts w:ascii="Arial" w:hAnsi="Arial" w:cs="Arial"/>
          <w:sz w:val="20"/>
          <w:szCs w:val="20"/>
        </w:rPr>
        <w:t xml:space="preserve"> </w:t>
      </w:r>
      <w:r w:rsidRPr="00D4007A">
        <w:rPr>
          <w:rFonts w:ascii="Arial" w:hAnsi="Arial" w:cs="Arial"/>
          <w:sz w:val="20"/>
          <w:szCs w:val="20"/>
        </w:rPr>
        <w:t>de esa Municipalidad- cuanto la copia certificada de la planilla</w:t>
      </w:r>
      <w:r>
        <w:rPr>
          <w:rFonts w:ascii="Arial" w:hAnsi="Arial" w:cs="Arial"/>
          <w:sz w:val="20"/>
          <w:szCs w:val="20"/>
        </w:rPr>
        <w:t xml:space="preserve"> </w:t>
      </w:r>
      <w:r w:rsidRPr="00D4007A">
        <w:rPr>
          <w:rFonts w:ascii="Arial" w:hAnsi="Arial" w:cs="Arial"/>
          <w:sz w:val="20"/>
          <w:szCs w:val="20"/>
        </w:rPr>
        <w:t>municipal de notificaciones que obra a fs. 188, elementos que la</w:t>
      </w:r>
      <w:r>
        <w:rPr>
          <w:rFonts w:ascii="Arial" w:hAnsi="Arial" w:cs="Arial"/>
          <w:sz w:val="20"/>
          <w:szCs w:val="20"/>
        </w:rPr>
        <w:t xml:space="preserve"> </w:t>
      </w:r>
      <w:r w:rsidRPr="00D4007A">
        <w:rPr>
          <w:rFonts w:ascii="Arial" w:hAnsi="Arial" w:cs="Arial"/>
          <w:sz w:val="20"/>
          <w:szCs w:val="20"/>
        </w:rPr>
        <w:t>llevaron a concluir, de manera razonable, que las ordenanzas</w:t>
      </w:r>
      <w:r>
        <w:rPr>
          <w:rFonts w:ascii="Arial" w:hAnsi="Arial" w:cs="Arial"/>
          <w:sz w:val="20"/>
          <w:szCs w:val="20"/>
        </w:rPr>
        <w:t xml:space="preserve"> </w:t>
      </w:r>
      <w:r w:rsidRPr="00D4007A">
        <w:rPr>
          <w:rFonts w:ascii="Arial" w:hAnsi="Arial" w:cs="Arial"/>
          <w:sz w:val="20"/>
          <w:szCs w:val="20"/>
        </w:rPr>
        <w:t>habían sido publicadas en consonancia con lo establecido por la</w:t>
      </w:r>
      <w:r>
        <w:rPr>
          <w:rFonts w:ascii="Arial" w:hAnsi="Arial" w:cs="Arial"/>
          <w:sz w:val="20"/>
          <w:szCs w:val="20"/>
        </w:rPr>
        <w:t xml:space="preserve"> </w:t>
      </w:r>
      <w:r w:rsidRPr="00D4007A">
        <w:rPr>
          <w:rFonts w:ascii="Arial" w:hAnsi="Arial" w:cs="Arial"/>
          <w:sz w:val="20"/>
          <w:szCs w:val="20"/>
        </w:rPr>
        <w:t>ley aplicable.</w:t>
      </w:r>
      <w:r w:rsidR="0091040C">
        <w:rPr>
          <w:rFonts w:ascii="Arial" w:hAnsi="Arial" w:cs="Arial"/>
          <w:sz w:val="20"/>
          <w:szCs w:val="20"/>
        </w:rPr>
        <w:t xml:space="preserve"> </w:t>
      </w:r>
    </w:p>
    <w:p w14:paraId="0287B189" w14:textId="5926BA3E" w:rsidR="00D4007A" w:rsidRDefault="00D4007A" w:rsidP="0091040C">
      <w:pPr>
        <w:pStyle w:val="ListParagraph"/>
        <w:spacing w:line="360" w:lineRule="atLeast"/>
        <w:ind w:left="0"/>
        <w:jc w:val="both"/>
        <w:rPr>
          <w:rFonts w:ascii="Arial" w:hAnsi="Arial" w:cs="Arial"/>
          <w:sz w:val="20"/>
          <w:szCs w:val="20"/>
        </w:rPr>
      </w:pPr>
      <w:r>
        <w:rPr>
          <w:rFonts w:ascii="Arial" w:hAnsi="Arial" w:cs="Arial"/>
          <w:sz w:val="20"/>
          <w:szCs w:val="20"/>
        </w:rPr>
        <w:t>La PGN entendió que</w:t>
      </w:r>
      <w:r w:rsidR="0091040C">
        <w:rPr>
          <w:rFonts w:ascii="Arial" w:hAnsi="Arial" w:cs="Arial"/>
          <w:sz w:val="20"/>
          <w:szCs w:val="20"/>
        </w:rPr>
        <w:t xml:space="preserve"> la sentencia es arbitraria en tanto </w:t>
      </w:r>
      <w:r w:rsidR="0091040C" w:rsidRPr="0091040C">
        <w:rPr>
          <w:rFonts w:ascii="Arial" w:hAnsi="Arial" w:cs="Arial"/>
          <w:sz w:val="20"/>
          <w:szCs w:val="20"/>
        </w:rPr>
        <w:t>no han sido tratados los agravios de índole federal</w:t>
      </w:r>
      <w:r w:rsidR="0091040C">
        <w:rPr>
          <w:rFonts w:ascii="Arial" w:hAnsi="Arial" w:cs="Arial"/>
          <w:sz w:val="20"/>
          <w:szCs w:val="20"/>
        </w:rPr>
        <w:t xml:space="preserve"> </w:t>
      </w:r>
      <w:r w:rsidR="0091040C" w:rsidRPr="0091040C">
        <w:rPr>
          <w:rFonts w:ascii="Arial" w:hAnsi="Arial" w:cs="Arial"/>
          <w:sz w:val="20"/>
          <w:szCs w:val="20"/>
        </w:rPr>
        <w:t>oportunamente introducidos por la recurrente, fundados en la</w:t>
      </w:r>
      <w:r w:rsidR="0091040C">
        <w:rPr>
          <w:rFonts w:ascii="Arial" w:hAnsi="Arial" w:cs="Arial"/>
          <w:sz w:val="20"/>
          <w:szCs w:val="20"/>
        </w:rPr>
        <w:t xml:space="preserve"> </w:t>
      </w:r>
      <w:r w:rsidR="0091040C" w:rsidRPr="0091040C">
        <w:rPr>
          <w:rFonts w:ascii="Arial" w:hAnsi="Arial" w:cs="Arial"/>
          <w:sz w:val="20"/>
          <w:szCs w:val="20"/>
        </w:rPr>
        <w:t>falta de publicación oficial válida de las ordenanzas 2.408/15 y</w:t>
      </w:r>
      <w:r w:rsidR="0091040C">
        <w:rPr>
          <w:rFonts w:ascii="Arial" w:hAnsi="Arial" w:cs="Arial"/>
          <w:sz w:val="20"/>
          <w:szCs w:val="20"/>
        </w:rPr>
        <w:t xml:space="preserve"> </w:t>
      </w:r>
      <w:r w:rsidR="0091040C" w:rsidRPr="0091040C">
        <w:rPr>
          <w:rFonts w:ascii="Arial" w:hAnsi="Arial" w:cs="Arial"/>
          <w:sz w:val="20"/>
          <w:szCs w:val="20"/>
        </w:rPr>
        <w:t>2.467/16 que regulan el tributo aquí discutido, requisito que,</w:t>
      </w:r>
      <w:r w:rsidR="0091040C">
        <w:rPr>
          <w:rFonts w:ascii="Arial" w:hAnsi="Arial" w:cs="Arial"/>
          <w:sz w:val="20"/>
          <w:szCs w:val="20"/>
        </w:rPr>
        <w:t xml:space="preserve"> </w:t>
      </w:r>
      <w:r w:rsidR="0091040C" w:rsidRPr="0091040C">
        <w:rPr>
          <w:rFonts w:ascii="Arial" w:hAnsi="Arial" w:cs="Arial"/>
          <w:sz w:val="20"/>
          <w:szCs w:val="20"/>
        </w:rPr>
        <w:t xml:space="preserve">como lo sostuvo </w:t>
      </w:r>
      <w:r w:rsidR="006A736F">
        <w:rPr>
          <w:rFonts w:ascii="Arial" w:hAnsi="Arial" w:cs="Arial"/>
          <w:sz w:val="20"/>
          <w:szCs w:val="20"/>
        </w:rPr>
        <w:t>la CSJN</w:t>
      </w:r>
      <w:r w:rsidR="0091040C" w:rsidRPr="0091040C">
        <w:rPr>
          <w:rFonts w:ascii="Arial" w:hAnsi="Arial" w:cs="Arial"/>
          <w:sz w:val="20"/>
          <w:szCs w:val="20"/>
        </w:rPr>
        <w:t xml:space="preserve">, arraiga en los arts. 4°, 17, 52, 75, </w:t>
      </w:r>
      <w:proofErr w:type="spellStart"/>
      <w:r w:rsidR="0091040C" w:rsidRPr="0091040C">
        <w:rPr>
          <w:rFonts w:ascii="Arial" w:hAnsi="Arial" w:cs="Arial"/>
          <w:sz w:val="20"/>
          <w:szCs w:val="20"/>
        </w:rPr>
        <w:t>incs</w:t>
      </w:r>
      <w:proofErr w:type="spellEnd"/>
      <w:r w:rsidR="0091040C" w:rsidRPr="0091040C">
        <w:rPr>
          <w:rFonts w:ascii="Arial" w:hAnsi="Arial" w:cs="Arial"/>
          <w:sz w:val="20"/>
          <w:szCs w:val="20"/>
        </w:rPr>
        <w:t>.</w:t>
      </w:r>
      <w:r w:rsidR="0091040C">
        <w:rPr>
          <w:rFonts w:ascii="Arial" w:hAnsi="Arial" w:cs="Arial"/>
          <w:sz w:val="20"/>
          <w:szCs w:val="20"/>
        </w:rPr>
        <w:t xml:space="preserve"> </w:t>
      </w:r>
      <w:r w:rsidR="0091040C" w:rsidRPr="0091040C">
        <w:rPr>
          <w:rFonts w:ascii="Arial" w:hAnsi="Arial" w:cs="Arial"/>
          <w:sz w:val="20"/>
          <w:szCs w:val="20"/>
        </w:rPr>
        <w:t>1° y 2°, de la Constitución Nacional, en virtud de que allí se</w:t>
      </w:r>
      <w:r w:rsidR="0091040C">
        <w:rPr>
          <w:rFonts w:ascii="Arial" w:hAnsi="Arial" w:cs="Arial"/>
          <w:sz w:val="20"/>
          <w:szCs w:val="20"/>
        </w:rPr>
        <w:t xml:space="preserve"> </w:t>
      </w:r>
      <w:r w:rsidR="0091040C" w:rsidRPr="0091040C">
        <w:rPr>
          <w:rFonts w:ascii="Arial" w:hAnsi="Arial" w:cs="Arial"/>
          <w:sz w:val="20"/>
          <w:szCs w:val="20"/>
        </w:rPr>
        <w:t>plasma el principio de reserva de ley en materia tributaria</w:t>
      </w:r>
      <w:r w:rsidR="0091040C">
        <w:rPr>
          <w:rFonts w:ascii="Arial" w:hAnsi="Arial" w:cs="Arial"/>
          <w:sz w:val="20"/>
          <w:szCs w:val="20"/>
        </w:rPr>
        <w:t xml:space="preserve"> </w:t>
      </w:r>
      <w:r w:rsidR="0091040C" w:rsidRPr="0091040C">
        <w:rPr>
          <w:rFonts w:ascii="Arial" w:hAnsi="Arial" w:cs="Arial"/>
          <w:sz w:val="20"/>
          <w:szCs w:val="20"/>
        </w:rPr>
        <w:t>(conf. Fallos: 312:912; 318:1154; 319:3400; 321:366; 326:3168,</w:t>
      </w:r>
      <w:r w:rsidR="0091040C">
        <w:rPr>
          <w:rFonts w:ascii="Arial" w:hAnsi="Arial" w:cs="Arial"/>
          <w:sz w:val="20"/>
          <w:szCs w:val="20"/>
        </w:rPr>
        <w:t xml:space="preserve"> </w:t>
      </w:r>
      <w:r w:rsidR="0091040C" w:rsidRPr="0091040C">
        <w:rPr>
          <w:rFonts w:ascii="Arial" w:hAnsi="Arial" w:cs="Arial"/>
          <w:sz w:val="20"/>
          <w:szCs w:val="20"/>
        </w:rPr>
        <w:t>entre otros).</w:t>
      </w:r>
    </w:p>
    <w:p w14:paraId="1D2D558E" w14:textId="77777777" w:rsidR="00D4007A" w:rsidRDefault="00D4007A" w:rsidP="005E19ED">
      <w:pPr>
        <w:pStyle w:val="ListParagraph"/>
        <w:spacing w:line="360" w:lineRule="atLeast"/>
        <w:ind w:left="0"/>
        <w:jc w:val="both"/>
        <w:rPr>
          <w:rFonts w:ascii="Arial" w:hAnsi="Arial" w:cs="Arial"/>
          <w:sz w:val="20"/>
          <w:szCs w:val="20"/>
        </w:rPr>
      </w:pPr>
    </w:p>
    <w:p w14:paraId="5123F3E4" w14:textId="77777777" w:rsidR="00D4007A" w:rsidRPr="005E19ED" w:rsidRDefault="00D4007A" w:rsidP="005E19ED">
      <w:pPr>
        <w:pStyle w:val="ListParagraph"/>
        <w:spacing w:line="360" w:lineRule="atLeast"/>
        <w:ind w:left="0"/>
        <w:jc w:val="both"/>
        <w:rPr>
          <w:rFonts w:ascii="Arial" w:hAnsi="Arial" w:cs="Arial"/>
          <w:sz w:val="20"/>
          <w:szCs w:val="20"/>
        </w:rPr>
      </w:pPr>
    </w:p>
    <w:p w14:paraId="2EE5CE91" w14:textId="1218BEE2" w:rsidR="00306096" w:rsidRPr="00306096" w:rsidRDefault="006733A9" w:rsidP="00306096">
      <w:pPr>
        <w:pStyle w:val="ListParagraph"/>
        <w:numPr>
          <w:ilvl w:val="0"/>
          <w:numId w:val="4"/>
        </w:numPr>
        <w:spacing w:line="360" w:lineRule="atLeast"/>
        <w:jc w:val="both"/>
        <w:rPr>
          <w:rFonts w:ascii="Arial" w:hAnsi="Arial" w:cs="Arial"/>
          <w:b/>
          <w:bCs/>
          <w:sz w:val="20"/>
          <w:szCs w:val="20"/>
        </w:rPr>
      </w:pPr>
      <w:r w:rsidRPr="007374D4">
        <w:rPr>
          <w:rFonts w:ascii="Arial" w:hAnsi="Arial" w:cs="Arial"/>
          <w:b/>
          <w:bCs/>
          <w:sz w:val="20"/>
          <w:szCs w:val="20"/>
        </w:rPr>
        <w:t xml:space="preserve">Cámara Federal de </w:t>
      </w:r>
      <w:r w:rsidR="007374D4" w:rsidRPr="007374D4">
        <w:rPr>
          <w:rFonts w:ascii="Arial" w:hAnsi="Arial" w:cs="Arial"/>
          <w:b/>
          <w:bCs/>
          <w:sz w:val="20"/>
          <w:szCs w:val="20"/>
        </w:rPr>
        <w:t>San Martin - SALA II</w:t>
      </w:r>
      <w:r w:rsidRPr="007374D4">
        <w:rPr>
          <w:rFonts w:ascii="Arial" w:hAnsi="Arial" w:cs="Arial"/>
          <w:b/>
          <w:bCs/>
          <w:sz w:val="20"/>
          <w:szCs w:val="20"/>
        </w:rPr>
        <w:t>. “</w:t>
      </w:r>
      <w:proofErr w:type="spellStart"/>
      <w:r w:rsidR="007374D4" w:rsidRPr="007374D4">
        <w:rPr>
          <w:rFonts w:ascii="Arial" w:hAnsi="Arial" w:cs="Arial"/>
          <w:b/>
          <w:bCs/>
          <w:sz w:val="20"/>
          <w:szCs w:val="20"/>
        </w:rPr>
        <w:t>Linkear</w:t>
      </w:r>
      <w:proofErr w:type="spellEnd"/>
      <w:r w:rsidR="007374D4" w:rsidRPr="007374D4">
        <w:rPr>
          <w:rFonts w:ascii="Arial" w:hAnsi="Arial" w:cs="Arial"/>
          <w:b/>
          <w:bCs/>
          <w:sz w:val="20"/>
          <w:szCs w:val="20"/>
        </w:rPr>
        <w:t xml:space="preserve"> S.R.L. c/ Municipalidad de Moreno s/ Acción mere declarativa de inconstitucionalidad”</w:t>
      </w:r>
      <w:r w:rsidRPr="007374D4">
        <w:rPr>
          <w:rFonts w:ascii="Arial" w:hAnsi="Arial" w:cs="Arial"/>
          <w:b/>
          <w:bCs/>
          <w:sz w:val="20"/>
          <w:szCs w:val="20"/>
        </w:rPr>
        <w:t xml:space="preserve">. </w:t>
      </w:r>
      <w:r w:rsidR="007374D4" w:rsidRPr="007374D4">
        <w:rPr>
          <w:rFonts w:ascii="Arial" w:hAnsi="Arial" w:cs="Arial"/>
          <w:b/>
          <w:bCs/>
          <w:sz w:val="20"/>
          <w:szCs w:val="20"/>
        </w:rPr>
        <w:t>Juzgado Federal de Moreno, Secretaría Civil N° 2 SALA II</w:t>
      </w:r>
      <w:r w:rsidR="007374D4">
        <w:rPr>
          <w:rFonts w:ascii="Arial" w:hAnsi="Arial" w:cs="Arial"/>
          <w:b/>
          <w:bCs/>
          <w:sz w:val="20"/>
          <w:szCs w:val="20"/>
        </w:rPr>
        <w:t xml:space="preserve">. </w:t>
      </w:r>
      <w:r w:rsidRPr="007374D4">
        <w:rPr>
          <w:rFonts w:ascii="Arial" w:hAnsi="Arial" w:cs="Arial"/>
          <w:b/>
          <w:bCs/>
          <w:sz w:val="20"/>
          <w:szCs w:val="20"/>
        </w:rPr>
        <w:t>1</w:t>
      </w:r>
      <w:r w:rsidR="007374D4">
        <w:rPr>
          <w:rFonts w:ascii="Arial" w:hAnsi="Arial" w:cs="Arial"/>
          <w:b/>
          <w:bCs/>
          <w:sz w:val="20"/>
          <w:szCs w:val="20"/>
        </w:rPr>
        <w:t>2</w:t>
      </w:r>
      <w:r w:rsidRPr="007374D4">
        <w:rPr>
          <w:rFonts w:ascii="Arial" w:hAnsi="Arial" w:cs="Arial"/>
          <w:b/>
          <w:bCs/>
          <w:sz w:val="20"/>
          <w:szCs w:val="20"/>
        </w:rPr>
        <w:t>/0</w:t>
      </w:r>
      <w:r w:rsidR="007374D4">
        <w:rPr>
          <w:rFonts w:ascii="Arial" w:hAnsi="Arial" w:cs="Arial"/>
          <w:b/>
          <w:bCs/>
          <w:sz w:val="20"/>
          <w:szCs w:val="20"/>
        </w:rPr>
        <w:t>6</w:t>
      </w:r>
      <w:r w:rsidRPr="007374D4">
        <w:rPr>
          <w:rFonts w:ascii="Arial" w:hAnsi="Arial" w:cs="Arial"/>
          <w:b/>
          <w:bCs/>
          <w:sz w:val="20"/>
          <w:szCs w:val="20"/>
        </w:rPr>
        <w:t>/2025.</w:t>
      </w:r>
    </w:p>
    <w:p w14:paraId="22047D66" w14:textId="77777777" w:rsidR="00306096" w:rsidRDefault="00306096" w:rsidP="00306096">
      <w:pPr>
        <w:pStyle w:val="ListParagraph"/>
        <w:spacing w:line="360" w:lineRule="atLeast"/>
        <w:ind w:left="360"/>
        <w:jc w:val="both"/>
      </w:pPr>
    </w:p>
    <w:p w14:paraId="7C2FA230" w14:textId="68DE3BD5" w:rsidR="006C3B35" w:rsidRPr="00945D65" w:rsidRDefault="006C3B35" w:rsidP="006C3B35">
      <w:pPr>
        <w:pStyle w:val="ListParagraph"/>
        <w:spacing w:line="360" w:lineRule="atLeast"/>
        <w:ind w:left="0"/>
        <w:jc w:val="both"/>
        <w:rPr>
          <w:rFonts w:ascii="Arial" w:hAnsi="Arial" w:cs="Arial"/>
          <w:sz w:val="20"/>
          <w:szCs w:val="20"/>
        </w:rPr>
      </w:pPr>
      <w:r w:rsidRPr="00945D65">
        <w:rPr>
          <w:rFonts w:ascii="Arial" w:hAnsi="Arial" w:cs="Arial"/>
          <w:sz w:val="20"/>
          <w:szCs w:val="20"/>
        </w:rPr>
        <w:t>Facultades tributarias de las Municipios. Falta de prestación de servicios. S</w:t>
      </w:r>
      <w:r w:rsidR="00306096" w:rsidRPr="00945D65">
        <w:rPr>
          <w:rFonts w:ascii="Arial" w:hAnsi="Arial" w:cs="Arial"/>
          <w:sz w:val="20"/>
          <w:szCs w:val="20"/>
        </w:rPr>
        <w:t>i bien el gravamen establecido por la Municipalidad de Moreno comprende aspectos que la dogmática constitucional reconoció invariablemente a las provincias y sus municipios –en tanto las instalaciones comprometen de modo evidente la seguridad de la población-, el gobierno comunal no ha probado la contraprestación al tributo entre 2014 y 2018, inclusive.</w:t>
      </w:r>
      <w:r w:rsidR="00D52D9D" w:rsidRPr="00945D65">
        <w:rPr>
          <w:rFonts w:ascii="Arial" w:hAnsi="Arial" w:cs="Arial"/>
          <w:sz w:val="20"/>
          <w:szCs w:val="20"/>
        </w:rPr>
        <w:t xml:space="preserve"> La única actividad acreditada durante el período es la </w:t>
      </w:r>
      <w:r w:rsidR="00D52D9D" w:rsidRPr="00945D65">
        <w:rPr>
          <w:rFonts w:ascii="Arial" w:hAnsi="Arial" w:cs="Arial"/>
          <w:sz w:val="20"/>
          <w:szCs w:val="20"/>
        </w:rPr>
        <w:lastRenderedPageBreak/>
        <w:t>constatación llevada a cabo el 12/11/2018 sobre la estructura emplazada en calle San Martín N° 10017, de la localidad Cuartel V, en el marco de un “Relevamiento censal por Tributo de Antenas” que, con esta excepción, se llevó a cabo a lo largo de 2019</w:t>
      </w:r>
      <w:r w:rsidR="00492AD6">
        <w:rPr>
          <w:rFonts w:ascii="Arial" w:hAnsi="Arial" w:cs="Arial"/>
          <w:sz w:val="20"/>
          <w:szCs w:val="20"/>
        </w:rPr>
        <w:t>.</w:t>
      </w:r>
    </w:p>
    <w:p w14:paraId="4DEE6B0C" w14:textId="77777777" w:rsidR="00306096" w:rsidRDefault="00306096" w:rsidP="00306096">
      <w:pPr>
        <w:pStyle w:val="ListParagraph"/>
        <w:spacing w:line="360" w:lineRule="atLeast"/>
        <w:ind w:left="360"/>
        <w:jc w:val="both"/>
        <w:rPr>
          <w:rFonts w:ascii="Arial" w:hAnsi="Arial" w:cs="Arial"/>
          <w:sz w:val="20"/>
          <w:szCs w:val="20"/>
        </w:rPr>
      </w:pPr>
    </w:p>
    <w:p w14:paraId="2785749C" w14:textId="77777777" w:rsidR="00945D65" w:rsidRDefault="00945D65" w:rsidP="00306096">
      <w:pPr>
        <w:pStyle w:val="ListParagraph"/>
        <w:spacing w:line="360" w:lineRule="atLeast"/>
        <w:ind w:left="360"/>
        <w:jc w:val="both"/>
        <w:rPr>
          <w:rFonts w:ascii="Arial" w:hAnsi="Arial" w:cs="Arial"/>
          <w:sz w:val="20"/>
          <w:szCs w:val="20"/>
        </w:rPr>
      </w:pPr>
    </w:p>
    <w:p w14:paraId="1B8B4FC0" w14:textId="36297FC3" w:rsidR="00492AD6" w:rsidRPr="002F0BFB" w:rsidRDefault="00492AD6" w:rsidP="003F0148">
      <w:pPr>
        <w:pStyle w:val="ListParagraph"/>
        <w:numPr>
          <w:ilvl w:val="0"/>
          <w:numId w:val="4"/>
        </w:numPr>
        <w:spacing w:line="360" w:lineRule="atLeast"/>
        <w:jc w:val="both"/>
        <w:rPr>
          <w:rFonts w:ascii="Arial" w:hAnsi="Arial" w:cs="Arial"/>
          <w:b/>
          <w:bCs/>
          <w:sz w:val="20"/>
          <w:szCs w:val="20"/>
        </w:rPr>
      </w:pPr>
      <w:r w:rsidRPr="002F0BFB">
        <w:rPr>
          <w:rFonts w:ascii="Arial" w:hAnsi="Arial" w:cs="Arial"/>
          <w:b/>
          <w:bCs/>
          <w:sz w:val="20"/>
          <w:szCs w:val="20"/>
        </w:rPr>
        <w:t xml:space="preserve">Cámara Federal de San Martin - SALA I. </w:t>
      </w:r>
      <w:r w:rsidRPr="002F0BFB">
        <w:rPr>
          <w:rFonts w:ascii="Arial" w:hAnsi="Arial" w:cs="Arial"/>
          <w:sz w:val="20"/>
          <w:szCs w:val="20"/>
        </w:rPr>
        <w:t>“</w:t>
      </w:r>
      <w:r w:rsidR="00523828" w:rsidRPr="00FE1EE1">
        <w:rPr>
          <w:rFonts w:ascii="Arial" w:hAnsi="Arial" w:cs="Arial"/>
          <w:b/>
          <w:bCs/>
          <w:sz w:val="20"/>
          <w:szCs w:val="20"/>
        </w:rPr>
        <w:t xml:space="preserve">Municipalidad </w:t>
      </w:r>
      <w:r w:rsidR="00F11A95">
        <w:rPr>
          <w:rFonts w:ascii="Arial" w:hAnsi="Arial" w:cs="Arial"/>
          <w:b/>
          <w:bCs/>
          <w:sz w:val="20"/>
          <w:szCs w:val="20"/>
        </w:rPr>
        <w:t>d</w:t>
      </w:r>
      <w:r w:rsidR="00523828" w:rsidRPr="00FE1EE1">
        <w:rPr>
          <w:rFonts w:ascii="Arial" w:hAnsi="Arial" w:cs="Arial"/>
          <w:b/>
          <w:bCs/>
          <w:sz w:val="20"/>
          <w:szCs w:val="20"/>
        </w:rPr>
        <w:t xml:space="preserve">e Pilar C/ Ministerio </w:t>
      </w:r>
      <w:r w:rsidR="00F11A95">
        <w:rPr>
          <w:rFonts w:ascii="Arial" w:hAnsi="Arial" w:cs="Arial"/>
          <w:b/>
          <w:bCs/>
          <w:sz w:val="20"/>
          <w:szCs w:val="20"/>
        </w:rPr>
        <w:t>d</w:t>
      </w:r>
      <w:r w:rsidR="00523828" w:rsidRPr="00FE1EE1">
        <w:rPr>
          <w:rFonts w:ascii="Arial" w:hAnsi="Arial" w:cs="Arial"/>
          <w:b/>
          <w:bCs/>
          <w:sz w:val="20"/>
          <w:szCs w:val="20"/>
        </w:rPr>
        <w:t xml:space="preserve">e Economía </w:t>
      </w:r>
      <w:r w:rsidR="001D6F4B">
        <w:rPr>
          <w:rFonts w:ascii="Arial" w:hAnsi="Arial" w:cs="Arial"/>
          <w:b/>
          <w:bCs/>
          <w:sz w:val="20"/>
          <w:szCs w:val="20"/>
        </w:rPr>
        <w:t>d</w:t>
      </w:r>
      <w:r w:rsidR="00523828" w:rsidRPr="00FE1EE1">
        <w:rPr>
          <w:rFonts w:ascii="Arial" w:hAnsi="Arial" w:cs="Arial"/>
          <w:b/>
          <w:bCs/>
          <w:sz w:val="20"/>
          <w:szCs w:val="20"/>
        </w:rPr>
        <w:t xml:space="preserve">e La </w:t>
      </w:r>
      <w:r w:rsidR="001D6F4B" w:rsidRPr="00FE1EE1">
        <w:rPr>
          <w:rFonts w:ascii="Arial" w:hAnsi="Arial" w:cs="Arial"/>
          <w:b/>
          <w:bCs/>
          <w:sz w:val="20"/>
          <w:szCs w:val="20"/>
        </w:rPr>
        <w:t>Nación</w:t>
      </w:r>
      <w:r w:rsidR="00523828" w:rsidRPr="00FE1EE1">
        <w:rPr>
          <w:rFonts w:ascii="Arial" w:hAnsi="Arial" w:cs="Arial"/>
          <w:b/>
          <w:bCs/>
          <w:sz w:val="20"/>
          <w:szCs w:val="20"/>
        </w:rPr>
        <w:t xml:space="preserve"> - </w:t>
      </w:r>
      <w:proofErr w:type="gramStart"/>
      <w:r w:rsidR="00523828" w:rsidRPr="00FE1EE1">
        <w:rPr>
          <w:rFonts w:ascii="Arial" w:hAnsi="Arial" w:cs="Arial"/>
          <w:b/>
          <w:bCs/>
          <w:sz w:val="20"/>
          <w:szCs w:val="20"/>
        </w:rPr>
        <w:t>Secretaria</w:t>
      </w:r>
      <w:proofErr w:type="gramEnd"/>
      <w:r w:rsidR="00523828" w:rsidRPr="00FE1EE1">
        <w:rPr>
          <w:rFonts w:ascii="Arial" w:hAnsi="Arial" w:cs="Arial"/>
          <w:b/>
          <w:bCs/>
          <w:sz w:val="20"/>
          <w:szCs w:val="20"/>
        </w:rPr>
        <w:t xml:space="preserve"> </w:t>
      </w:r>
      <w:r w:rsidR="001D6F4B">
        <w:rPr>
          <w:rFonts w:ascii="Arial" w:hAnsi="Arial" w:cs="Arial"/>
          <w:b/>
          <w:bCs/>
          <w:sz w:val="20"/>
          <w:szCs w:val="20"/>
        </w:rPr>
        <w:t>d</w:t>
      </w:r>
      <w:r w:rsidR="00523828" w:rsidRPr="00FE1EE1">
        <w:rPr>
          <w:rFonts w:ascii="Arial" w:hAnsi="Arial" w:cs="Arial"/>
          <w:b/>
          <w:bCs/>
          <w:sz w:val="20"/>
          <w:szCs w:val="20"/>
        </w:rPr>
        <w:t xml:space="preserve">e Industria </w:t>
      </w:r>
      <w:r w:rsidR="001D6F4B">
        <w:rPr>
          <w:rFonts w:ascii="Arial" w:hAnsi="Arial" w:cs="Arial"/>
          <w:b/>
          <w:bCs/>
          <w:sz w:val="20"/>
          <w:szCs w:val="20"/>
        </w:rPr>
        <w:t>y</w:t>
      </w:r>
      <w:r w:rsidR="00523828" w:rsidRPr="00FE1EE1">
        <w:rPr>
          <w:rFonts w:ascii="Arial" w:hAnsi="Arial" w:cs="Arial"/>
          <w:b/>
          <w:bCs/>
          <w:sz w:val="20"/>
          <w:szCs w:val="20"/>
        </w:rPr>
        <w:t xml:space="preserve"> Comercio </w:t>
      </w:r>
      <w:r w:rsidR="001D6F4B">
        <w:rPr>
          <w:rFonts w:ascii="Arial" w:hAnsi="Arial" w:cs="Arial"/>
          <w:b/>
          <w:bCs/>
          <w:sz w:val="20"/>
          <w:szCs w:val="20"/>
        </w:rPr>
        <w:t>s</w:t>
      </w:r>
      <w:r w:rsidR="00523828" w:rsidRPr="00FE1EE1">
        <w:rPr>
          <w:rFonts w:ascii="Arial" w:hAnsi="Arial" w:cs="Arial"/>
          <w:b/>
          <w:bCs/>
          <w:sz w:val="20"/>
          <w:szCs w:val="20"/>
        </w:rPr>
        <w:t>/Amparo Ley 16.986”</w:t>
      </w:r>
      <w:r w:rsidRPr="00FE1EE1">
        <w:rPr>
          <w:rFonts w:ascii="Arial" w:hAnsi="Arial" w:cs="Arial"/>
          <w:b/>
          <w:bCs/>
          <w:sz w:val="20"/>
          <w:szCs w:val="20"/>
        </w:rPr>
        <w:t>.</w:t>
      </w:r>
      <w:r w:rsidRPr="002F0BFB">
        <w:rPr>
          <w:rFonts w:ascii="Arial" w:hAnsi="Arial" w:cs="Arial"/>
          <w:b/>
          <w:bCs/>
          <w:sz w:val="20"/>
          <w:szCs w:val="20"/>
        </w:rPr>
        <w:t xml:space="preserve"> 1</w:t>
      </w:r>
      <w:r w:rsidR="002F0BFB">
        <w:rPr>
          <w:rFonts w:ascii="Arial" w:hAnsi="Arial" w:cs="Arial"/>
          <w:b/>
          <w:bCs/>
          <w:sz w:val="20"/>
          <w:szCs w:val="20"/>
        </w:rPr>
        <w:t>0</w:t>
      </w:r>
      <w:r w:rsidRPr="002F0BFB">
        <w:rPr>
          <w:rFonts w:ascii="Arial" w:hAnsi="Arial" w:cs="Arial"/>
          <w:b/>
          <w:bCs/>
          <w:sz w:val="20"/>
          <w:szCs w:val="20"/>
        </w:rPr>
        <w:t>/0</w:t>
      </w:r>
      <w:r w:rsidR="002F0BFB">
        <w:rPr>
          <w:rFonts w:ascii="Arial" w:hAnsi="Arial" w:cs="Arial"/>
          <w:b/>
          <w:bCs/>
          <w:sz w:val="20"/>
          <w:szCs w:val="20"/>
        </w:rPr>
        <w:t>7</w:t>
      </w:r>
      <w:r w:rsidRPr="002F0BFB">
        <w:rPr>
          <w:rFonts w:ascii="Arial" w:hAnsi="Arial" w:cs="Arial"/>
          <w:b/>
          <w:bCs/>
          <w:sz w:val="20"/>
          <w:szCs w:val="20"/>
        </w:rPr>
        <w:t>/2025.</w:t>
      </w:r>
    </w:p>
    <w:p w14:paraId="2830E19F" w14:textId="77777777" w:rsidR="00365245" w:rsidRDefault="002F0BFB" w:rsidP="0062463E">
      <w:pPr>
        <w:pStyle w:val="ListParagraph"/>
        <w:spacing w:line="360" w:lineRule="atLeast"/>
        <w:ind w:left="0"/>
        <w:jc w:val="both"/>
        <w:rPr>
          <w:rFonts w:ascii="Arial" w:hAnsi="Arial" w:cs="Arial"/>
          <w:sz w:val="20"/>
          <w:szCs w:val="20"/>
        </w:rPr>
      </w:pPr>
      <w:r>
        <w:rPr>
          <w:rFonts w:ascii="Arial" w:hAnsi="Arial" w:cs="Arial"/>
          <w:sz w:val="20"/>
          <w:szCs w:val="20"/>
        </w:rPr>
        <w:t>Prohibición de establecer tributos municipales en las facturas de servicios p</w:t>
      </w:r>
      <w:r w:rsidR="000D04AA">
        <w:rPr>
          <w:rFonts w:ascii="Arial" w:hAnsi="Arial" w:cs="Arial"/>
          <w:sz w:val="20"/>
          <w:szCs w:val="20"/>
        </w:rPr>
        <w:t>úblicos.</w:t>
      </w:r>
      <w:r w:rsidR="0062463E">
        <w:rPr>
          <w:rFonts w:ascii="Arial" w:hAnsi="Arial" w:cs="Arial"/>
          <w:sz w:val="20"/>
          <w:szCs w:val="20"/>
        </w:rPr>
        <w:t xml:space="preserve"> </w:t>
      </w:r>
    </w:p>
    <w:p w14:paraId="28995E22" w14:textId="77777777" w:rsidR="00365245" w:rsidRDefault="0062463E" w:rsidP="00365245">
      <w:pPr>
        <w:pStyle w:val="ListParagraph"/>
        <w:spacing w:line="360" w:lineRule="atLeast"/>
        <w:ind w:left="0"/>
        <w:jc w:val="both"/>
        <w:rPr>
          <w:rFonts w:ascii="Arial" w:hAnsi="Arial" w:cs="Arial"/>
          <w:sz w:val="20"/>
          <w:szCs w:val="20"/>
        </w:rPr>
      </w:pPr>
      <w:r>
        <w:rPr>
          <w:rFonts w:ascii="Arial" w:hAnsi="Arial" w:cs="Arial"/>
          <w:sz w:val="20"/>
          <w:szCs w:val="20"/>
        </w:rPr>
        <w:t>L</w:t>
      </w:r>
      <w:r w:rsidR="00EA06B9" w:rsidRPr="0062463E">
        <w:rPr>
          <w:rFonts w:ascii="Arial" w:hAnsi="Arial" w:cs="Arial"/>
          <w:sz w:val="20"/>
          <w:szCs w:val="20"/>
        </w:rPr>
        <w:t>a Resolución 267/2024, amparándose en la ley</w:t>
      </w:r>
      <w:r w:rsidR="00365245">
        <w:rPr>
          <w:rFonts w:ascii="Arial" w:hAnsi="Arial" w:cs="Arial"/>
          <w:sz w:val="20"/>
          <w:szCs w:val="20"/>
        </w:rPr>
        <w:t xml:space="preserve"> </w:t>
      </w:r>
      <w:r w:rsidR="00EA06B9" w:rsidRPr="00EA06B9">
        <w:rPr>
          <w:rFonts w:ascii="Arial" w:hAnsi="Arial" w:cs="Arial"/>
          <w:sz w:val="20"/>
          <w:szCs w:val="20"/>
        </w:rPr>
        <w:t>24.240, persigue como finalidad la protección del</w:t>
      </w:r>
      <w:r w:rsidR="00365245">
        <w:rPr>
          <w:rFonts w:ascii="Arial" w:hAnsi="Arial" w:cs="Arial"/>
          <w:sz w:val="20"/>
          <w:szCs w:val="20"/>
        </w:rPr>
        <w:t xml:space="preserve"> </w:t>
      </w:r>
      <w:r w:rsidR="00EA06B9" w:rsidRPr="00EA06B9">
        <w:rPr>
          <w:rFonts w:ascii="Arial" w:hAnsi="Arial" w:cs="Arial"/>
          <w:sz w:val="20"/>
          <w:szCs w:val="20"/>
        </w:rPr>
        <w:t>derecho de los consumidores a contar con la mayor</w:t>
      </w:r>
      <w:r w:rsidR="009E21AF">
        <w:rPr>
          <w:rFonts w:ascii="Arial" w:hAnsi="Arial" w:cs="Arial"/>
          <w:sz w:val="20"/>
          <w:szCs w:val="20"/>
        </w:rPr>
        <w:t xml:space="preserve"> </w:t>
      </w:r>
      <w:r w:rsidR="009E21AF" w:rsidRPr="009E21AF">
        <w:rPr>
          <w:rFonts w:ascii="Arial" w:hAnsi="Arial" w:cs="Arial"/>
          <w:sz w:val="20"/>
          <w:szCs w:val="20"/>
        </w:rPr>
        <w:t>información en forma clara respecto de los servicios</w:t>
      </w:r>
      <w:r w:rsidR="00365245">
        <w:rPr>
          <w:rFonts w:ascii="Arial" w:hAnsi="Arial" w:cs="Arial"/>
          <w:sz w:val="20"/>
          <w:szCs w:val="20"/>
        </w:rPr>
        <w:t xml:space="preserve"> </w:t>
      </w:r>
      <w:r w:rsidR="009E21AF" w:rsidRPr="009E21AF">
        <w:rPr>
          <w:rFonts w:ascii="Arial" w:hAnsi="Arial" w:cs="Arial"/>
          <w:sz w:val="20"/>
          <w:szCs w:val="20"/>
        </w:rPr>
        <w:t>contratados y a ser abonados, resultando dicho</w:t>
      </w:r>
      <w:r w:rsidR="00365245">
        <w:rPr>
          <w:rFonts w:ascii="Arial" w:hAnsi="Arial" w:cs="Arial"/>
          <w:sz w:val="20"/>
          <w:szCs w:val="20"/>
        </w:rPr>
        <w:t xml:space="preserve"> </w:t>
      </w:r>
      <w:r w:rsidR="009E21AF" w:rsidRPr="009E21AF">
        <w:rPr>
          <w:rFonts w:ascii="Arial" w:hAnsi="Arial" w:cs="Arial"/>
          <w:sz w:val="20"/>
          <w:szCs w:val="20"/>
        </w:rPr>
        <w:t>propósito plenamente legítimo.</w:t>
      </w:r>
      <w:r w:rsidR="00365245">
        <w:rPr>
          <w:rFonts w:ascii="Arial" w:hAnsi="Arial" w:cs="Arial"/>
          <w:sz w:val="20"/>
          <w:szCs w:val="20"/>
        </w:rPr>
        <w:t xml:space="preserve"> </w:t>
      </w:r>
    </w:p>
    <w:p w14:paraId="6216415A" w14:textId="1B6FCEBD" w:rsidR="009E21AF" w:rsidRDefault="00365245" w:rsidP="0062463E">
      <w:pPr>
        <w:pStyle w:val="ListParagraph"/>
        <w:spacing w:line="360" w:lineRule="atLeast"/>
        <w:ind w:left="0"/>
        <w:jc w:val="both"/>
        <w:rPr>
          <w:rFonts w:ascii="Arial" w:hAnsi="Arial" w:cs="Arial"/>
          <w:sz w:val="20"/>
          <w:szCs w:val="20"/>
        </w:rPr>
      </w:pPr>
      <w:r>
        <w:rPr>
          <w:rFonts w:ascii="Arial" w:hAnsi="Arial" w:cs="Arial"/>
          <w:sz w:val="20"/>
          <w:szCs w:val="20"/>
        </w:rPr>
        <w:t xml:space="preserve">Se </w:t>
      </w:r>
      <w:r w:rsidR="0062463E" w:rsidRPr="0062463E">
        <w:rPr>
          <w:rFonts w:ascii="Arial" w:hAnsi="Arial" w:cs="Arial"/>
          <w:sz w:val="20"/>
          <w:szCs w:val="20"/>
        </w:rPr>
        <w:t>considera</w:t>
      </w:r>
      <w:r>
        <w:rPr>
          <w:rFonts w:ascii="Arial" w:hAnsi="Arial" w:cs="Arial"/>
          <w:sz w:val="20"/>
          <w:szCs w:val="20"/>
        </w:rPr>
        <w:t xml:space="preserve"> </w:t>
      </w:r>
      <w:r w:rsidR="0062463E" w:rsidRPr="0062463E">
        <w:rPr>
          <w:rFonts w:ascii="Arial" w:hAnsi="Arial" w:cs="Arial"/>
          <w:sz w:val="20"/>
          <w:szCs w:val="20"/>
        </w:rPr>
        <w:t>que la decisión</w:t>
      </w:r>
      <w:r>
        <w:rPr>
          <w:rFonts w:ascii="Arial" w:hAnsi="Arial" w:cs="Arial"/>
          <w:sz w:val="20"/>
          <w:szCs w:val="20"/>
        </w:rPr>
        <w:t xml:space="preserve"> </w:t>
      </w:r>
      <w:r w:rsidR="0062463E" w:rsidRPr="0062463E">
        <w:rPr>
          <w:rFonts w:ascii="Arial" w:hAnsi="Arial" w:cs="Arial"/>
          <w:sz w:val="20"/>
          <w:szCs w:val="20"/>
        </w:rPr>
        <w:t>de “prohibir” impacta directamente sobre el derecho</w:t>
      </w:r>
      <w:r>
        <w:rPr>
          <w:rFonts w:ascii="Arial" w:hAnsi="Arial" w:cs="Arial"/>
          <w:sz w:val="20"/>
          <w:szCs w:val="20"/>
        </w:rPr>
        <w:t xml:space="preserve"> </w:t>
      </w:r>
      <w:r w:rsidR="0062463E" w:rsidRPr="0062463E">
        <w:rPr>
          <w:rFonts w:ascii="Arial" w:hAnsi="Arial" w:cs="Arial"/>
          <w:sz w:val="20"/>
          <w:szCs w:val="20"/>
        </w:rPr>
        <w:t>con el que cuentan los municipios -en este caso la</w:t>
      </w:r>
      <w:r>
        <w:rPr>
          <w:rFonts w:ascii="Arial" w:hAnsi="Arial" w:cs="Arial"/>
          <w:sz w:val="20"/>
          <w:szCs w:val="20"/>
        </w:rPr>
        <w:t xml:space="preserve"> </w:t>
      </w:r>
      <w:r w:rsidR="0062463E" w:rsidRPr="0062463E">
        <w:rPr>
          <w:rFonts w:ascii="Arial" w:hAnsi="Arial" w:cs="Arial"/>
          <w:sz w:val="20"/>
          <w:szCs w:val="20"/>
        </w:rPr>
        <w:t>Municipalidad de Pilar- de imponer contribuciones y</w:t>
      </w:r>
      <w:r>
        <w:rPr>
          <w:rFonts w:ascii="Arial" w:hAnsi="Arial" w:cs="Arial"/>
          <w:sz w:val="20"/>
          <w:szCs w:val="20"/>
        </w:rPr>
        <w:t xml:space="preserve"> </w:t>
      </w:r>
      <w:r w:rsidR="0062463E" w:rsidRPr="0062463E">
        <w:rPr>
          <w:rFonts w:ascii="Arial" w:hAnsi="Arial" w:cs="Arial"/>
          <w:sz w:val="20"/>
          <w:szCs w:val="20"/>
        </w:rPr>
        <w:t>percibirlas sin intervención alguna de autoridad</w:t>
      </w:r>
      <w:r>
        <w:rPr>
          <w:rFonts w:ascii="Arial" w:hAnsi="Arial" w:cs="Arial"/>
          <w:sz w:val="20"/>
          <w:szCs w:val="20"/>
        </w:rPr>
        <w:t xml:space="preserve"> </w:t>
      </w:r>
      <w:r w:rsidR="0062463E" w:rsidRPr="0062463E">
        <w:rPr>
          <w:rFonts w:ascii="Arial" w:hAnsi="Arial" w:cs="Arial"/>
          <w:sz w:val="20"/>
          <w:szCs w:val="20"/>
        </w:rPr>
        <w:t>extraña, habida cuenta que, de no respetarse la</w:t>
      </w:r>
      <w:r>
        <w:rPr>
          <w:rFonts w:ascii="Arial" w:hAnsi="Arial" w:cs="Arial"/>
          <w:sz w:val="20"/>
          <w:szCs w:val="20"/>
        </w:rPr>
        <w:t xml:space="preserve"> </w:t>
      </w:r>
      <w:r w:rsidR="0062463E" w:rsidRPr="0062463E">
        <w:rPr>
          <w:rFonts w:ascii="Arial" w:hAnsi="Arial" w:cs="Arial"/>
          <w:sz w:val="20"/>
          <w:szCs w:val="20"/>
        </w:rPr>
        <w:t>facultad de aquellos de administrar y disponer de sus</w:t>
      </w:r>
      <w:r>
        <w:rPr>
          <w:rFonts w:ascii="Arial" w:hAnsi="Arial" w:cs="Arial"/>
          <w:sz w:val="20"/>
          <w:szCs w:val="20"/>
        </w:rPr>
        <w:t xml:space="preserve"> </w:t>
      </w:r>
      <w:r w:rsidR="0062463E" w:rsidRPr="0062463E">
        <w:rPr>
          <w:rFonts w:ascii="Arial" w:hAnsi="Arial" w:cs="Arial"/>
          <w:sz w:val="20"/>
          <w:szCs w:val="20"/>
        </w:rPr>
        <w:t>recursos -aplicando el mecanismo que considerasen</w:t>
      </w:r>
      <w:r>
        <w:rPr>
          <w:rFonts w:ascii="Arial" w:hAnsi="Arial" w:cs="Arial"/>
          <w:sz w:val="20"/>
          <w:szCs w:val="20"/>
        </w:rPr>
        <w:t xml:space="preserve"> </w:t>
      </w:r>
      <w:r w:rsidR="0062463E" w:rsidRPr="0062463E">
        <w:rPr>
          <w:rFonts w:ascii="Arial" w:hAnsi="Arial" w:cs="Arial"/>
          <w:sz w:val="20"/>
          <w:szCs w:val="20"/>
        </w:rPr>
        <w:t>adecuado para su percepción-, se estaría</w:t>
      </w:r>
      <w:r>
        <w:rPr>
          <w:rFonts w:ascii="Arial" w:hAnsi="Arial" w:cs="Arial"/>
          <w:sz w:val="20"/>
          <w:szCs w:val="20"/>
        </w:rPr>
        <w:t xml:space="preserve"> </w:t>
      </w:r>
      <w:r w:rsidR="0062463E" w:rsidRPr="0062463E">
        <w:rPr>
          <w:rFonts w:ascii="Arial" w:hAnsi="Arial" w:cs="Arial"/>
          <w:sz w:val="20"/>
          <w:szCs w:val="20"/>
        </w:rPr>
        <w:t>desnaturalizando el mandato constitucional de</w:t>
      </w:r>
      <w:r>
        <w:rPr>
          <w:rFonts w:ascii="Arial" w:hAnsi="Arial" w:cs="Arial"/>
          <w:sz w:val="20"/>
          <w:szCs w:val="20"/>
        </w:rPr>
        <w:t xml:space="preserve"> </w:t>
      </w:r>
      <w:r w:rsidR="0062463E" w:rsidRPr="0062463E">
        <w:rPr>
          <w:rFonts w:ascii="Arial" w:hAnsi="Arial" w:cs="Arial"/>
          <w:sz w:val="20"/>
          <w:szCs w:val="20"/>
        </w:rPr>
        <w:t>asegurar su autonomía.</w:t>
      </w:r>
    </w:p>
    <w:p w14:paraId="5800F948" w14:textId="77777777" w:rsidR="00365245" w:rsidRDefault="00365245" w:rsidP="0062463E">
      <w:pPr>
        <w:pStyle w:val="ListParagraph"/>
        <w:spacing w:line="360" w:lineRule="atLeast"/>
        <w:ind w:left="0"/>
        <w:jc w:val="both"/>
        <w:rPr>
          <w:rFonts w:ascii="Arial" w:hAnsi="Arial" w:cs="Arial"/>
          <w:sz w:val="20"/>
          <w:szCs w:val="20"/>
        </w:rPr>
      </w:pPr>
    </w:p>
    <w:p w14:paraId="0BE84651" w14:textId="77777777" w:rsidR="00492AD6" w:rsidRPr="00945D65" w:rsidRDefault="00492AD6" w:rsidP="002F0BFB">
      <w:pPr>
        <w:pStyle w:val="ListParagraph"/>
        <w:spacing w:line="360" w:lineRule="atLeast"/>
        <w:ind w:left="0"/>
        <w:jc w:val="both"/>
        <w:rPr>
          <w:rFonts w:ascii="Arial" w:hAnsi="Arial" w:cs="Arial"/>
          <w:sz w:val="20"/>
          <w:szCs w:val="20"/>
        </w:rPr>
      </w:pPr>
    </w:p>
    <w:p w14:paraId="623472FF" w14:textId="5A23FA7E" w:rsidR="0097322D" w:rsidRPr="0023019B" w:rsidRDefault="0097322D" w:rsidP="00B13E6B">
      <w:pPr>
        <w:pStyle w:val="ListParagraph"/>
        <w:numPr>
          <w:ilvl w:val="0"/>
          <w:numId w:val="4"/>
        </w:numPr>
        <w:spacing w:line="360" w:lineRule="atLeast"/>
        <w:jc w:val="both"/>
        <w:rPr>
          <w:rFonts w:ascii="Arial" w:hAnsi="Arial" w:cs="Arial"/>
          <w:b/>
          <w:bCs/>
          <w:sz w:val="20"/>
          <w:szCs w:val="20"/>
        </w:rPr>
      </w:pPr>
      <w:r w:rsidRPr="0023019B">
        <w:rPr>
          <w:rFonts w:ascii="Arial" w:hAnsi="Arial" w:cs="Arial"/>
          <w:b/>
          <w:bCs/>
          <w:sz w:val="20"/>
          <w:szCs w:val="20"/>
        </w:rPr>
        <w:t xml:space="preserve">Cámara Federal de </w:t>
      </w:r>
      <w:r w:rsidR="007374D4" w:rsidRPr="0023019B">
        <w:rPr>
          <w:rFonts w:ascii="Arial" w:hAnsi="Arial" w:cs="Arial"/>
          <w:b/>
          <w:bCs/>
          <w:sz w:val="20"/>
          <w:szCs w:val="20"/>
        </w:rPr>
        <w:t>Rosario – Sala A.</w:t>
      </w:r>
      <w:r w:rsidRPr="0023019B">
        <w:rPr>
          <w:rFonts w:ascii="Arial" w:hAnsi="Arial" w:cs="Arial"/>
          <w:b/>
          <w:bCs/>
          <w:sz w:val="20"/>
          <w:szCs w:val="20"/>
        </w:rPr>
        <w:t xml:space="preserve"> </w:t>
      </w:r>
      <w:r w:rsidR="0023019B" w:rsidRPr="0023019B">
        <w:rPr>
          <w:rFonts w:ascii="Arial" w:hAnsi="Arial" w:cs="Arial"/>
          <w:b/>
          <w:bCs/>
          <w:sz w:val="20"/>
          <w:szCs w:val="20"/>
        </w:rPr>
        <w:t>“Banco de la Nación Argentina c/ Municipalidad de Rosario s/Acción Meramente declarativa de inconstitucionalidad”</w:t>
      </w:r>
      <w:r w:rsidRPr="0023019B">
        <w:rPr>
          <w:rFonts w:ascii="Arial" w:hAnsi="Arial" w:cs="Arial"/>
          <w:b/>
          <w:bCs/>
          <w:sz w:val="20"/>
          <w:szCs w:val="20"/>
        </w:rPr>
        <w:t>. 2</w:t>
      </w:r>
      <w:r w:rsidR="0023019B">
        <w:rPr>
          <w:rFonts w:ascii="Arial" w:hAnsi="Arial" w:cs="Arial"/>
          <w:b/>
          <w:bCs/>
          <w:sz w:val="20"/>
          <w:szCs w:val="20"/>
        </w:rPr>
        <w:t>8</w:t>
      </w:r>
      <w:r w:rsidRPr="0023019B">
        <w:rPr>
          <w:rFonts w:ascii="Arial" w:hAnsi="Arial" w:cs="Arial"/>
          <w:b/>
          <w:bCs/>
          <w:sz w:val="20"/>
          <w:szCs w:val="20"/>
        </w:rPr>
        <w:t>/0</w:t>
      </w:r>
      <w:r w:rsidR="0023019B">
        <w:rPr>
          <w:rFonts w:ascii="Arial" w:hAnsi="Arial" w:cs="Arial"/>
          <w:b/>
          <w:bCs/>
          <w:sz w:val="20"/>
          <w:szCs w:val="20"/>
        </w:rPr>
        <w:t>7</w:t>
      </w:r>
      <w:r w:rsidRPr="0023019B">
        <w:rPr>
          <w:rFonts w:ascii="Arial" w:hAnsi="Arial" w:cs="Arial"/>
          <w:b/>
          <w:bCs/>
          <w:sz w:val="20"/>
          <w:szCs w:val="20"/>
        </w:rPr>
        <w:t>/2025.</w:t>
      </w:r>
    </w:p>
    <w:p w14:paraId="398B5E72" w14:textId="5C23719C" w:rsidR="00827937" w:rsidRDefault="00827937" w:rsidP="0023019B">
      <w:pPr>
        <w:spacing w:line="360" w:lineRule="atLeast"/>
        <w:jc w:val="both"/>
        <w:rPr>
          <w:rFonts w:ascii="Arial" w:hAnsi="Arial" w:cs="Arial"/>
          <w:sz w:val="20"/>
          <w:szCs w:val="20"/>
        </w:rPr>
      </w:pPr>
      <w:r>
        <w:rPr>
          <w:rFonts w:ascii="Arial" w:hAnsi="Arial" w:cs="Arial"/>
          <w:sz w:val="20"/>
          <w:szCs w:val="20"/>
        </w:rPr>
        <w:t xml:space="preserve">El BNA inició una demanda a fin de que </w:t>
      </w:r>
      <w:r w:rsidRPr="00827937">
        <w:rPr>
          <w:rFonts w:ascii="Arial" w:hAnsi="Arial" w:cs="Arial"/>
          <w:sz w:val="20"/>
          <w:szCs w:val="20"/>
        </w:rPr>
        <w:t>se</w:t>
      </w:r>
      <w:r w:rsidR="009550D1">
        <w:rPr>
          <w:rFonts w:ascii="Arial" w:hAnsi="Arial" w:cs="Arial"/>
          <w:sz w:val="20"/>
          <w:szCs w:val="20"/>
        </w:rPr>
        <w:t xml:space="preserve"> </w:t>
      </w:r>
      <w:r w:rsidRPr="00827937">
        <w:rPr>
          <w:rFonts w:ascii="Arial" w:hAnsi="Arial" w:cs="Arial"/>
          <w:sz w:val="20"/>
          <w:szCs w:val="20"/>
        </w:rPr>
        <w:t>declare la inconstitucionalidad del artículo 16 de la ordenanza municipal N° 10578/2023, modificatorias y concordantes de la Municipalidad de Rosario, por la cual se aumenta la alícuota a aplicar para el pago del Derecho de Registro e Inspección (DREI); se declare la inconstitucionalidad del artículo 77 del Código Tributario Municipal (decreto 9476/1978)</w:t>
      </w:r>
      <w:r w:rsidR="00866241">
        <w:rPr>
          <w:rFonts w:ascii="Arial" w:hAnsi="Arial" w:cs="Arial"/>
          <w:sz w:val="20"/>
          <w:szCs w:val="20"/>
        </w:rPr>
        <w:t xml:space="preserve">. Asimismo, solicitó </w:t>
      </w:r>
      <w:r w:rsidR="004D0F66">
        <w:rPr>
          <w:rFonts w:ascii="Arial" w:hAnsi="Arial" w:cs="Arial"/>
          <w:sz w:val="20"/>
          <w:szCs w:val="20"/>
        </w:rPr>
        <w:t>el dictado de una medida cautelar que fue rechazada.</w:t>
      </w:r>
    </w:p>
    <w:p w14:paraId="16F5380B" w14:textId="498E85CA" w:rsidR="00945D65" w:rsidRDefault="004722F5" w:rsidP="0023019B">
      <w:pPr>
        <w:spacing w:line="360" w:lineRule="atLeast"/>
        <w:jc w:val="both"/>
        <w:rPr>
          <w:rFonts w:ascii="Arial" w:hAnsi="Arial" w:cs="Arial"/>
          <w:sz w:val="20"/>
          <w:szCs w:val="20"/>
        </w:rPr>
      </w:pPr>
      <w:r>
        <w:rPr>
          <w:rFonts w:ascii="Arial" w:hAnsi="Arial" w:cs="Arial"/>
          <w:sz w:val="20"/>
          <w:szCs w:val="20"/>
        </w:rPr>
        <w:t xml:space="preserve">La Cámara confirmó el rechazo de </w:t>
      </w:r>
      <w:r w:rsidR="00F37176">
        <w:rPr>
          <w:rFonts w:ascii="Arial" w:hAnsi="Arial" w:cs="Arial"/>
          <w:sz w:val="20"/>
          <w:szCs w:val="20"/>
        </w:rPr>
        <w:t>la medida cautelar solicitada por el B</w:t>
      </w:r>
      <w:r w:rsidR="004D0F66">
        <w:rPr>
          <w:rFonts w:ascii="Arial" w:hAnsi="Arial" w:cs="Arial"/>
          <w:sz w:val="20"/>
          <w:szCs w:val="20"/>
        </w:rPr>
        <w:t>NA.</w:t>
      </w:r>
      <w:r w:rsidR="00E94F47">
        <w:rPr>
          <w:rFonts w:ascii="Arial" w:hAnsi="Arial" w:cs="Arial"/>
          <w:sz w:val="20"/>
          <w:szCs w:val="20"/>
        </w:rPr>
        <w:t xml:space="preserve">  </w:t>
      </w:r>
      <w:r w:rsidR="00635C11">
        <w:rPr>
          <w:rFonts w:ascii="Arial" w:hAnsi="Arial" w:cs="Arial"/>
          <w:sz w:val="20"/>
          <w:szCs w:val="20"/>
        </w:rPr>
        <w:t>El BNA</w:t>
      </w:r>
      <w:r w:rsidR="009550D1">
        <w:rPr>
          <w:rFonts w:ascii="Arial" w:hAnsi="Arial" w:cs="Arial"/>
          <w:sz w:val="20"/>
          <w:szCs w:val="20"/>
        </w:rPr>
        <w:t xml:space="preserve"> no</w:t>
      </w:r>
      <w:r w:rsidR="00E94F47" w:rsidRPr="00E94F47">
        <w:rPr>
          <w:rFonts w:ascii="Arial" w:hAnsi="Arial" w:cs="Arial"/>
          <w:sz w:val="20"/>
          <w:szCs w:val="20"/>
        </w:rPr>
        <w:t xml:space="preserve"> ha demostrado, que la norma sea desproporcionada, irrazonable, confiscatoria y se afecten la serie de derechos enumerados</w:t>
      </w:r>
      <w:r w:rsidR="009550D1">
        <w:rPr>
          <w:rFonts w:ascii="Arial" w:hAnsi="Arial" w:cs="Arial"/>
          <w:sz w:val="20"/>
          <w:szCs w:val="20"/>
        </w:rPr>
        <w:t>.</w:t>
      </w:r>
    </w:p>
    <w:p w14:paraId="6C1B41B8" w14:textId="77777777" w:rsidR="00945D65" w:rsidRDefault="00945D65" w:rsidP="0023019B">
      <w:pPr>
        <w:spacing w:line="360" w:lineRule="atLeast"/>
        <w:jc w:val="both"/>
        <w:rPr>
          <w:rFonts w:ascii="Arial" w:hAnsi="Arial" w:cs="Arial"/>
          <w:sz w:val="20"/>
          <w:szCs w:val="20"/>
        </w:rPr>
      </w:pPr>
    </w:p>
    <w:p w14:paraId="53336FF0" w14:textId="2F0BBA20" w:rsidR="002C07F5" w:rsidRDefault="002C07F5" w:rsidP="00916ED1">
      <w:pPr>
        <w:pStyle w:val="ListParagraph"/>
        <w:numPr>
          <w:ilvl w:val="0"/>
          <w:numId w:val="4"/>
        </w:numPr>
        <w:spacing w:line="360" w:lineRule="atLeast"/>
        <w:jc w:val="both"/>
        <w:rPr>
          <w:rFonts w:ascii="Arial" w:hAnsi="Arial" w:cs="Arial"/>
          <w:b/>
          <w:bCs/>
          <w:sz w:val="20"/>
          <w:szCs w:val="20"/>
        </w:rPr>
      </w:pPr>
      <w:r w:rsidRPr="002C07F5">
        <w:rPr>
          <w:rFonts w:ascii="Arial" w:hAnsi="Arial" w:cs="Arial"/>
          <w:b/>
          <w:bCs/>
          <w:sz w:val="20"/>
          <w:szCs w:val="20"/>
        </w:rPr>
        <w:t>Cámara Federal de Apelaciones de General Roca</w:t>
      </w:r>
      <w:r>
        <w:rPr>
          <w:rFonts w:ascii="Arial" w:hAnsi="Arial" w:cs="Arial"/>
          <w:b/>
          <w:bCs/>
          <w:sz w:val="20"/>
          <w:szCs w:val="20"/>
        </w:rPr>
        <w:t>.</w:t>
      </w:r>
      <w:r w:rsidRPr="002C07F5">
        <w:rPr>
          <w:rFonts w:ascii="Arial" w:hAnsi="Arial" w:cs="Arial"/>
          <w:b/>
          <w:bCs/>
          <w:sz w:val="20"/>
          <w:szCs w:val="20"/>
        </w:rPr>
        <w:t xml:space="preserve"> “PAMPA ENERGÍA S.A. c/ MUNICIPALIDAD DE NEUQUÉN s/ ACCIÓN MERAMENTE DECLARATIVA DE DERECHO” (FGR 14173/2024/CA1) JUZGADO FEDERAL N°1 DE NEUQUÉN</w:t>
      </w:r>
      <w:r>
        <w:rPr>
          <w:rFonts w:ascii="Arial" w:hAnsi="Arial" w:cs="Arial"/>
          <w:b/>
          <w:bCs/>
          <w:sz w:val="20"/>
          <w:szCs w:val="20"/>
        </w:rPr>
        <w:t>. 26/6/2025.</w:t>
      </w:r>
    </w:p>
    <w:p w14:paraId="6C227232" w14:textId="534BB34C" w:rsidR="002C07F5" w:rsidRPr="002C07F5" w:rsidRDefault="002C07F5" w:rsidP="002C07F5">
      <w:pPr>
        <w:spacing w:line="360" w:lineRule="atLeast"/>
        <w:jc w:val="both"/>
        <w:rPr>
          <w:rFonts w:ascii="Arial" w:hAnsi="Arial" w:cs="Arial"/>
          <w:sz w:val="20"/>
          <w:szCs w:val="20"/>
        </w:rPr>
      </w:pPr>
      <w:r w:rsidRPr="002C07F5">
        <w:rPr>
          <w:rFonts w:ascii="Arial" w:hAnsi="Arial" w:cs="Arial"/>
          <w:sz w:val="20"/>
          <w:szCs w:val="20"/>
        </w:rPr>
        <w:t xml:space="preserve">La Cámara Federal de Apelaciones de General Roca acepta la competencia federal para cuestionar una tasa municipal que se invoca como contraria al régimen de la energía eléctrica y el de los hidrocarburos. La decisión se fundamenta porque considera que el municipio podría estar invadiendo </w:t>
      </w:r>
      <w:r w:rsidRPr="002C07F5">
        <w:rPr>
          <w:rFonts w:ascii="Arial" w:hAnsi="Arial" w:cs="Arial"/>
          <w:sz w:val="20"/>
          <w:szCs w:val="20"/>
        </w:rPr>
        <w:lastRenderedPageBreak/>
        <w:t>un ámbito de competencia nacional al cobrar tributos sobre ingresos generados fuera de su jurisdicción, lo que justifica la intervención de la justicia federal.</w:t>
      </w:r>
    </w:p>
    <w:p w14:paraId="07662433" w14:textId="77777777" w:rsidR="0023019B" w:rsidRDefault="0023019B" w:rsidP="0023019B">
      <w:pPr>
        <w:pStyle w:val="ListParagraph"/>
        <w:spacing w:line="360" w:lineRule="atLeast"/>
        <w:ind w:left="360"/>
        <w:jc w:val="both"/>
        <w:rPr>
          <w:rFonts w:ascii="Arial" w:hAnsi="Arial" w:cs="Arial"/>
          <w:sz w:val="20"/>
          <w:szCs w:val="20"/>
        </w:rPr>
      </w:pPr>
    </w:p>
    <w:p w14:paraId="32363490" w14:textId="77777777" w:rsidR="0045223A" w:rsidRDefault="00F51DCA" w:rsidP="0045223A">
      <w:pPr>
        <w:pStyle w:val="ListParagraph"/>
        <w:numPr>
          <w:ilvl w:val="0"/>
          <w:numId w:val="5"/>
        </w:numPr>
        <w:spacing w:line="360" w:lineRule="atLeast"/>
        <w:jc w:val="both"/>
        <w:rPr>
          <w:rFonts w:ascii="Arial" w:hAnsi="Arial" w:cs="Arial"/>
          <w:b/>
          <w:bCs/>
          <w:sz w:val="20"/>
          <w:szCs w:val="20"/>
        </w:rPr>
      </w:pPr>
      <w:r w:rsidRPr="00F51DCA">
        <w:rPr>
          <w:rFonts w:ascii="Arial" w:hAnsi="Arial" w:cs="Arial"/>
          <w:b/>
          <w:bCs/>
          <w:sz w:val="20"/>
          <w:szCs w:val="20"/>
        </w:rPr>
        <w:t xml:space="preserve">COMISION ARBITRAL Y PLENARIA </w:t>
      </w:r>
    </w:p>
    <w:p w14:paraId="41FE620C" w14:textId="77777777" w:rsidR="00D416D0" w:rsidRDefault="00D416D0" w:rsidP="00D416D0">
      <w:pPr>
        <w:pStyle w:val="ListParagraph"/>
        <w:spacing w:line="360" w:lineRule="atLeast"/>
        <w:jc w:val="both"/>
        <w:rPr>
          <w:rFonts w:ascii="Arial" w:hAnsi="Arial" w:cs="Arial"/>
          <w:b/>
          <w:bCs/>
          <w:sz w:val="20"/>
          <w:szCs w:val="20"/>
        </w:rPr>
      </w:pPr>
    </w:p>
    <w:p w14:paraId="3E0C3C11" w14:textId="08E1ADAA" w:rsidR="00F05A32" w:rsidRPr="0046391C" w:rsidRDefault="00F05A32" w:rsidP="0046391C">
      <w:pPr>
        <w:pStyle w:val="ListParagraph"/>
        <w:numPr>
          <w:ilvl w:val="0"/>
          <w:numId w:val="4"/>
        </w:numPr>
        <w:spacing w:line="360" w:lineRule="atLeast"/>
        <w:jc w:val="both"/>
        <w:rPr>
          <w:rFonts w:ascii="Arial" w:hAnsi="Arial" w:cs="Arial"/>
          <w:b/>
          <w:bCs/>
          <w:sz w:val="20"/>
          <w:szCs w:val="20"/>
        </w:rPr>
      </w:pPr>
      <w:r w:rsidRPr="00873588">
        <w:rPr>
          <w:rFonts w:ascii="Arial" w:hAnsi="Arial" w:cs="Arial"/>
          <w:b/>
          <w:bCs/>
          <w:sz w:val="20"/>
          <w:szCs w:val="20"/>
        </w:rPr>
        <w:t>Resolución (CA) N°</w:t>
      </w:r>
      <w:r w:rsidR="00873588" w:rsidRPr="00873588">
        <w:rPr>
          <w:rFonts w:ascii="Arial" w:hAnsi="Arial" w:cs="Arial"/>
          <w:b/>
          <w:bCs/>
          <w:sz w:val="20"/>
          <w:szCs w:val="20"/>
        </w:rPr>
        <w:t xml:space="preserve"> </w:t>
      </w:r>
      <w:r w:rsidR="0046391C">
        <w:rPr>
          <w:rFonts w:ascii="Arial" w:hAnsi="Arial" w:cs="Arial"/>
          <w:b/>
          <w:bCs/>
          <w:sz w:val="20"/>
          <w:szCs w:val="20"/>
        </w:rPr>
        <w:t>12</w:t>
      </w:r>
      <w:r w:rsidR="00873588" w:rsidRPr="00873588">
        <w:rPr>
          <w:rFonts w:ascii="Arial" w:hAnsi="Arial" w:cs="Arial"/>
          <w:b/>
          <w:bCs/>
          <w:sz w:val="20"/>
          <w:szCs w:val="20"/>
        </w:rPr>
        <w:t xml:space="preserve">. </w:t>
      </w:r>
      <w:r w:rsidR="0059256A">
        <w:rPr>
          <w:rFonts w:ascii="Arial" w:hAnsi="Arial" w:cs="Arial"/>
          <w:b/>
          <w:bCs/>
          <w:sz w:val="20"/>
          <w:szCs w:val="20"/>
        </w:rPr>
        <w:t>“</w:t>
      </w:r>
      <w:r w:rsidR="0046391C" w:rsidRPr="0046391C">
        <w:rPr>
          <w:rFonts w:ascii="Arial" w:hAnsi="Arial" w:cs="Arial"/>
          <w:b/>
          <w:bCs/>
          <w:sz w:val="20"/>
          <w:szCs w:val="20"/>
        </w:rPr>
        <w:t>Logística Medica SRL c/ provincia de Buenos</w:t>
      </w:r>
      <w:r w:rsidR="0046391C">
        <w:rPr>
          <w:rFonts w:ascii="Arial" w:hAnsi="Arial" w:cs="Arial"/>
          <w:b/>
          <w:bCs/>
          <w:sz w:val="20"/>
          <w:szCs w:val="20"/>
        </w:rPr>
        <w:t xml:space="preserve"> </w:t>
      </w:r>
      <w:r w:rsidR="0046391C" w:rsidRPr="0046391C">
        <w:rPr>
          <w:rFonts w:ascii="Arial" w:hAnsi="Arial" w:cs="Arial"/>
          <w:b/>
          <w:bCs/>
          <w:sz w:val="20"/>
          <w:szCs w:val="20"/>
        </w:rPr>
        <w:t>Aires</w:t>
      </w:r>
      <w:r w:rsidR="0059256A">
        <w:rPr>
          <w:rFonts w:ascii="Arial" w:hAnsi="Arial" w:cs="Arial"/>
          <w:b/>
          <w:bCs/>
          <w:sz w:val="20"/>
          <w:szCs w:val="20"/>
        </w:rPr>
        <w:t>”</w:t>
      </w:r>
      <w:r w:rsidRPr="0046391C">
        <w:rPr>
          <w:rFonts w:ascii="Arial" w:hAnsi="Arial" w:cs="Arial"/>
          <w:b/>
          <w:bCs/>
          <w:sz w:val="20"/>
          <w:szCs w:val="20"/>
        </w:rPr>
        <w:t xml:space="preserve"> - </w:t>
      </w:r>
      <w:proofErr w:type="spellStart"/>
      <w:r w:rsidRPr="0046391C">
        <w:rPr>
          <w:rFonts w:ascii="Arial" w:hAnsi="Arial" w:cs="Arial"/>
          <w:b/>
          <w:bCs/>
          <w:sz w:val="20"/>
          <w:szCs w:val="20"/>
        </w:rPr>
        <w:t>Expte</w:t>
      </w:r>
      <w:proofErr w:type="spellEnd"/>
      <w:r w:rsidRPr="0046391C">
        <w:rPr>
          <w:rFonts w:ascii="Arial" w:hAnsi="Arial" w:cs="Arial"/>
          <w:b/>
          <w:bCs/>
          <w:sz w:val="20"/>
          <w:szCs w:val="20"/>
        </w:rPr>
        <w:t xml:space="preserve">. CM N° </w:t>
      </w:r>
      <w:r w:rsidR="0046391C" w:rsidRPr="0046391C">
        <w:rPr>
          <w:rFonts w:ascii="Arial" w:hAnsi="Arial" w:cs="Arial"/>
          <w:b/>
          <w:bCs/>
          <w:sz w:val="20"/>
          <w:szCs w:val="20"/>
        </w:rPr>
        <w:t>1758/2023</w:t>
      </w:r>
      <w:r w:rsidR="00873588" w:rsidRPr="0046391C">
        <w:rPr>
          <w:rFonts w:ascii="Arial" w:hAnsi="Arial" w:cs="Arial"/>
          <w:b/>
          <w:bCs/>
          <w:sz w:val="20"/>
          <w:szCs w:val="20"/>
        </w:rPr>
        <w:t xml:space="preserve">. </w:t>
      </w:r>
      <w:r w:rsidR="006E2D18" w:rsidRPr="0046391C">
        <w:rPr>
          <w:rFonts w:ascii="Arial" w:hAnsi="Arial" w:cs="Arial"/>
          <w:b/>
          <w:bCs/>
          <w:sz w:val="20"/>
          <w:szCs w:val="20"/>
        </w:rPr>
        <w:t>1</w:t>
      </w:r>
      <w:r w:rsidR="0046391C">
        <w:rPr>
          <w:rFonts w:ascii="Arial" w:hAnsi="Arial" w:cs="Arial"/>
          <w:b/>
          <w:bCs/>
          <w:sz w:val="20"/>
          <w:szCs w:val="20"/>
        </w:rPr>
        <w:t>1</w:t>
      </w:r>
      <w:r w:rsidR="006E2D18" w:rsidRPr="0046391C">
        <w:rPr>
          <w:rFonts w:ascii="Arial" w:hAnsi="Arial" w:cs="Arial"/>
          <w:b/>
          <w:bCs/>
          <w:sz w:val="20"/>
          <w:szCs w:val="20"/>
        </w:rPr>
        <w:t>/0</w:t>
      </w:r>
      <w:r w:rsidR="0046391C">
        <w:rPr>
          <w:rFonts w:ascii="Arial" w:hAnsi="Arial" w:cs="Arial"/>
          <w:b/>
          <w:bCs/>
          <w:sz w:val="20"/>
          <w:szCs w:val="20"/>
        </w:rPr>
        <w:t>6</w:t>
      </w:r>
      <w:r w:rsidR="006E2D18" w:rsidRPr="0046391C">
        <w:rPr>
          <w:rFonts w:ascii="Arial" w:hAnsi="Arial" w:cs="Arial"/>
          <w:b/>
          <w:bCs/>
          <w:sz w:val="20"/>
          <w:szCs w:val="20"/>
        </w:rPr>
        <w:t>/2025.</w:t>
      </w:r>
    </w:p>
    <w:p w14:paraId="4564B852" w14:textId="6AF9F51C" w:rsidR="0046391C" w:rsidRDefault="00873588" w:rsidP="0046391C">
      <w:pPr>
        <w:spacing w:line="360" w:lineRule="atLeast"/>
        <w:jc w:val="both"/>
        <w:rPr>
          <w:rFonts w:ascii="Arial" w:hAnsi="Arial" w:cs="Arial"/>
          <w:sz w:val="20"/>
          <w:szCs w:val="20"/>
        </w:rPr>
      </w:pPr>
      <w:r w:rsidRPr="00873588">
        <w:rPr>
          <w:rFonts w:ascii="Arial" w:hAnsi="Arial" w:cs="Arial"/>
          <w:sz w:val="20"/>
          <w:szCs w:val="20"/>
        </w:rPr>
        <w:t xml:space="preserve">En el presente caso </w:t>
      </w:r>
      <w:r w:rsidR="0046391C">
        <w:rPr>
          <w:rFonts w:ascii="Arial" w:hAnsi="Arial" w:cs="Arial"/>
          <w:sz w:val="20"/>
          <w:szCs w:val="20"/>
        </w:rPr>
        <w:t xml:space="preserve">ARBA sostiene que es </w:t>
      </w:r>
      <w:r w:rsidR="0046391C" w:rsidRPr="0046391C">
        <w:rPr>
          <w:rFonts w:ascii="Arial" w:hAnsi="Arial" w:cs="Arial"/>
          <w:sz w:val="20"/>
          <w:szCs w:val="20"/>
        </w:rPr>
        <w:t>un sujeto puro de la provincia de Buenos Aires</w:t>
      </w:r>
      <w:r w:rsidR="0046391C">
        <w:rPr>
          <w:rFonts w:ascii="Arial" w:hAnsi="Arial" w:cs="Arial"/>
          <w:sz w:val="20"/>
          <w:szCs w:val="20"/>
        </w:rPr>
        <w:t xml:space="preserve">, por no tener sustento en otras jurisdicciones, pretendiendo </w:t>
      </w:r>
      <w:r w:rsidR="0046391C" w:rsidRPr="0046391C">
        <w:rPr>
          <w:rFonts w:ascii="Arial" w:hAnsi="Arial" w:cs="Arial"/>
          <w:sz w:val="20"/>
          <w:szCs w:val="20"/>
        </w:rPr>
        <w:t>asignar</w:t>
      </w:r>
      <w:r w:rsidR="0046391C">
        <w:rPr>
          <w:rFonts w:ascii="Arial" w:hAnsi="Arial" w:cs="Arial"/>
          <w:sz w:val="20"/>
          <w:szCs w:val="20"/>
        </w:rPr>
        <w:t xml:space="preserve"> </w:t>
      </w:r>
      <w:r w:rsidR="0046391C" w:rsidRPr="0046391C">
        <w:rPr>
          <w:rFonts w:ascii="Arial" w:hAnsi="Arial" w:cs="Arial"/>
          <w:sz w:val="20"/>
          <w:szCs w:val="20"/>
        </w:rPr>
        <w:t>el 100% tanto de gastos como de ingresos a la provincia de Buenos Aires</w:t>
      </w:r>
      <w:r w:rsidR="0046391C">
        <w:rPr>
          <w:rFonts w:ascii="Arial" w:hAnsi="Arial" w:cs="Arial"/>
          <w:sz w:val="20"/>
          <w:szCs w:val="20"/>
        </w:rPr>
        <w:t>.</w:t>
      </w:r>
    </w:p>
    <w:p w14:paraId="313AC586" w14:textId="4BE5AE83" w:rsidR="0046391C" w:rsidRDefault="0046391C" w:rsidP="0046391C">
      <w:pPr>
        <w:spacing w:line="360" w:lineRule="atLeast"/>
        <w:jc w:val="both"/>
        <w:rPr>
          <w:rFonts w:ascii="Arial" w:hAnsi="Arial" w:cs="Arial"/>
          <w:sz w:val="20"/>
          <w:szCs w:val="20"/>
        </w:rPr>
      </w:pPr>
      <w:r>
        <w:rPr>
          <w:rFonts w:ascii="Arial" w:hAnsi="Arial" w:cs="Arial"/>
          <w:sz w:val="20"/>
          <w:szCs w:val="20"/>
        </w:rPr>
        <w:t xml:space="preserve">La empresa </w:t>
      </w:r>
      <w:r w:rsidRPr="0046391C">
        <w:rPr>
          <w:rFonts w:ascii="Arial" w:hAnsi="Arial" w:cs="Arial"/>
          <w:sz w:val="20"/>
          <w:szCs w:val="20"/>
        </w:rPr>
        <w:t>produjo prueba pericial contable</w:t>
      </w:r>
      <w:r>
        <w:rPr>
          <w:rFonts w:ascii="Arial" w:hAnsi="Arial" w:cs="Arial"/>
          <w:sz w:val="20"/>
          <w:szCs w:val="20"/>
        </w:rPr>
        <w:t xml:space="preserve"> y </w:t>
      </w:r>
      <w:r w:rsidRPr="0046391C">
        <w:rPr>
          <w:rFonts w:ascii="Arial" w:hAnsi="Arial" w:cs="Arial"/>
          <w:sz w:val="20"/>
          <w:szCs w:val="20"/>
        </w:rPr>
        <w:t>logró acreditar la existencia de sustento territorial e ingresos en</w:t>
      </w:r>
      <w:r>
        <w:rPr>
          <w:rFonts w:ascii="Arial" w:hAnsi="Arial" w:cs="Arial"/>
          <w:sz w:val="20"/>
          <w:szCs w:val="20"/>
        </w:rPr>
        <w:t xml:space="preserve"> </w:t>
      </w:r>
      <w:r w:rsidRPr="0046391C">
        <w:rPr>
          <w:rFonts w:ascii="Arial" w:hAnsi="Arial" w:cs="Arial"/>
          <w:sz w:val="20"/>
          <w:szCs w:val="20"/>
        </w:rPr>
        <w:t>otras jurisdicciones, tales como Santiago del Estero y la CABA</w:t>
      </w:r>
      <w:r>
        <w:rPr>
          <w:rFonts w:ascii="Arial" w:hAnsi="Arial" w:cs="Arial"/>
          <w:sz w:val="20"/>
          <w:szCs w:val="20"/>
        </w:rPr>
        <w:t>.</w:t>
      </w:r>
    </w:p>
    <w:p w14:paraId="20ABBF93" w14:textId="1873D2BE" w:rsidR="0046391C" w:rsidRDefault="0046391C" w:rsidP="0046391C">
      <w:pPr>
        <w:spacing w:line="360" w:lineRule="atLeast"/>
        <w:jc w:val="both"/>
        <w:rPr>
          <w:rFonts w:ascii="Arial" w:hAnsi="Arial" w:cs="Arial"/>
          <w:sz w:val="20"/>
          <w:szCs w:val="20"/>
        </w:rPr>
      </w:pPr>
      <w:r>
        <w:rPr>
          <w:rFonts w:ascii="Arial" w:hAnsi="Arial" w:cs="Arial"/>
          <w:sz w:val="20"/>
          <w:szCs w:val="20"/>
        </w:rPr>
        <w:t>Así,</w:t>
      </w:r>
      <w:r w:rsidRPr="0046391C">
        <w:rPr>
          <w:rFonts w:ascii="Arial" w:hAnsi="Arial" w:cs="Arial"/>
          <w:sz w:val="20"/>
          <w:szCs w:val="20"/>
        </w:rPr>
        <w:t xml:space="preserve"> respecto del coeficiente</w:t>
      </w:r>
      <w:r>
        <w:rPr>
          <w:rFonts w:ascii="Arial" w:hAnsi="Arial" w:cs="Arial"/>
          <w:sz w:val="20"/>
          <w:szCs w:val="20"/>
        </w:rPr>
        <w:t xml:space="preserve"> </w:t>
      </w:r>
      <w:r w:rsidRPr="0046391C">
        <w:rPr>
          <w:rFonts w:ascii="Arial" w:hAnsi="Arial" w:cs="Arial"/>
          <w:sz w:val="20"/>
          <w:szCs w:val="20"/>
        </w:rPr>
        <w:t xml:space="preserve">de ingresos, la provincia de Buenos Aires </w:t>
      </w:r>
      <w:r>
        <w:rPr>
          <w:rFonts w:ascii="Arial" w:hAnsi="Arial" w:cs="Arial"/>
          <w:sz w:val="20"/>
          <w:szCs w:val="20"/>
        </w:rPr>
        <w:t xml:space="preserve">se allana al </w:t>
      </w:r>
      <w:r w:rsidRPr="0046391C">
        <w:rPr>
          <w:rFonts w:ascii="Arial" w:hAnsi="Arial" w:cs="Arial"/>
          <w:sz w:val="20"/>
          <w:szCs w:val="20"/>
        </w:rPr>
        <w:t>criterio utilizado por el</w:t>
      </w:r>
      <w:r>
        <w:rPr>
          <w:rFonts w:ascii="Arial" w:hAnsi="Arial" w:cs="Arial"/>
          <w:sz w:val="20"/>
          <w:szCs w:val="20"/>
        </w:rPr>
        <w:t xml:space="preserve"> </w:t>
      </w:r>
      <w:r w:rsidRPr="0046391C">
        <w:rPr>
          <w:rFonts w:ascii="Arial" w:hAnsi="Arial" w:cs="Arial"/>
          <w:sz w:val="20"/>
          <w:szCs w:val="20"/>
        </w:rPr>
        <w:t>contribuyente</w:t>
      </w:r>
      <w:r>
        <w:rPr>
          <w:rFonts w:ascii="Arial" w:hAnsi="Arial" w:cs="Arial"/>
          <w:sz w:val="20"/>
          <w:szCs w:val="20"/>
        </w:rPr>
        <w:t>, por tanto</w:t>
      </w:r>
      <w:r w:rsidRPr="0046391C">
        <w:rPr>
          <w:rFonts w:ascii="Arial" w:hAnsi="Arial" w:cs="Arial"/>
          <w:sz w:val="20"/>
          <w:szCs w:val="20"/>
        </w:rPr>
        <w:t>, corresponde hacer lugar al agravio relacionado con esta</w:t>
      </w:r>
      <w:r>
        <w:rPr>
          <w:rFonts w:ascii="Arial" w:hAnsi="Arial" w:cs="Arial"/>
          <w:sz w:val="20"/>
          <w:szCs w:val="20"/>
        </w:rPr>
        <w:t xml:space="preserve"> </w:t>
      </w:r>
      <w:r w:rsidRPr="0046391C">
        <w:rPr>
          <w:rFonts w:ascii="Arial" w:hAnsi="Arial" w:cs="Arial"/>
          <w:sz w:val="20"/>
          <w:szCs w:val="20"/>
        </w:rPr>
        <w:t>cuestión planteada por Logística Medica SRL.</w:t>
      </w:r>
    </w:p>
    <w:p w14:paraId="7C0396B9" w14:textId="2A3D5E93" w:rsidR="0046391C" w:rsidRDefault="0046391C" w:rsidP="0046391C">
      <w:pPr>
        <w:spacing w:line="360" w:lineRule="atLeast"/>
        <w:jc w:val="both"/>
        <w:rPr>
          <w:rFonts w:ascii="Arial" w:hAnsi="Arial" w:cs="Arial"/>
          <w:sz w:val="20"/>
          <w:szCs w:val="20"/>
        </w:rPr>
      </w:pPr>
      <w:r>
        <w:rPr>
          <w:rFonts w:ascii="Arial" w:hAnsi="Arial" w:cs="Arial"/>
          <w:sz w:val="20"/>
          <w:szCs w:val="20"/>
        </w:rPr>
        <w:t>En cuanto a la atribución de gastos, por no aportar documental, se resuelve confirmar</w:t>
      </w:r>
      <w:r w:rsidRPr="0046391C">
        <w:rPr>
          <w:rFonts w:ascii="Arial" w:hAnsi="Arial" w:cs="Arial"/>
          <w:sz w:val="20"/>
          <w:szCs w:val="20"/>
        </w:rPr>
        <w:t xml:space="preserve"> la</w:t>
      </w:r>
      <w:r>
        <w:rPr>
          <w:rFonts w:ascii="Arial" w:hAnsi="Arial" w:cs="Arial"/>
          <w:sz w:val="20"/>
          <w:szCs w:val="20"/>
        </w:rPr>
        <w:t xml:space="preserve"> </w:t>
      </w:r>
      <w:r w:rsidRPr="0046391C">
        <w:rPr>
          <w:rFonts w:ascii="Arial" w:hAnsi="Arial" w:cs="Arial"/>
          <w:sz w:val="20"/>
          <w:szCs w:val="20"/>
        </w:rPr>
        <w:t>pretensión del fisco</w:t>
      </w:r>
      <w:r>
        <w:rPr>
          <w:rFonts w:ascii="Arial" w:hAnsi="Arial" w:cs="Arial"/>
          <w:sz w:val="20"/>
          <w:szCs w:val="20"/>
        </w:rPr>
        <w:t xml:space="preserve">, quien asigno los </w:t>
      </w:r>
      <w:r w:rsidRPr="0046391C">
        <w:rPr>
          <w:rFonts w:ascii="Arial" w:hAnsi="Arial" w:cs="Arial"/>
          <w:sz w:val="20"/>
          <w:szCs w:val="20"/>
        </w:rPr>
        <w:t>gastos de</w:t>
      </w:r>
      <w:r>
        <w:rPr>
          <w:rFonts w:ascii="Arial" w:hAnsi="Arial" w:cs="Arial"/>
          <w:sz w:val="20"/>
          <w:szCs w:val="20"/>
        </w:rPr>
        <w:t xml:space="preserve"> </w:t>
      </w:r>
      <w:r w:rsidRPr="0046391C">
        <w:rPr>
          <w:rFonts w:ascii="Arial" w:hAnsi="Arial" w:cs="Arial"/>
          <w:sz w:val="20"/>
          <w:szCs w:val="20"/>
        </w:rPr>
        <w:t>“cargas sociales comercialización”, “transportes y fletes” y “otros gastos” a la provincia</w:t>
      </w:r>
      <w:r>
        <w:rPr>
          <w:rFonts w:ascii="Arial" w:hAnsi="Arial" w:cs="Arial"/>
          <w:sz w:val="20"/>
          <w:szCs w:val="20"/>
        </w:rPr>
        <w:t xml:space="preserve"> </w:t>
      </w:r>
      <w:r w:rsidRPr="0046391C">
        <w:rPr>
          <w:rFonts w:ascii="Arial" w:hAnsi="Arial" w:cs="Arial"/>
          <w:sz w:val="20"/>
          <w:szCs w:val="20"/>
        </w:rPr>
        <w:t>de Buenos Aires</w:t>
      </w:r>
      <w:r>
        <w:rPr>
          <w:rFonts w:ascii="Arial" w:hAnsi="Arial" w:cs="Arial"/>
          <w:sz w:val="20"/>
          <w:szCs w:val="20"/>
        </w:rPr>
        <w:t xml:space="preserve"> en un 100%.</w:t>
      </w:r>
    </w:p>
    <w:p w14:paraId="013591F2" w14:textId="77777777" w:rsidR="0046391C" w:rsidRDefault="0046391C" w:rsidP="0046391C">
      <w:pPr>
        <w:spacing w:line="360" w:lineRule="atLeast"/>
        <w:jc w:val="both"/>
        <w:rPr>
          <w:rFonts w:ascii="Arial" w:hAnsi="Arial" w:cs="Arial"/>
          <w:sz w:val="20"/>
          <w:szCs w:val="20"/>
        </w:rPr>
      </w:pPr>
    </w:p>
    <w:p w14:paraId="19725114" w14:textId="2457AED6" w:rsidR="00873588" w:rsidRDefault="00873588" w:rsidP="00873588">
      <w:pPr>
        <w:pStyle w:val="ListParagraph"/>
        <w:numPr>
          <w:ilvl w:val="0"/>
          <w:numId w:val="4"/>
        </w:numPr>
        <w:spacing w:line="360" w:lineRule="atLeast"/>
        <w:jc w:val="both"/>
        <w:rPr>
          <w:rFonts w:ascii="Arial" w:hAnsi="Arial" w:cs="Arial"/>
          <w:sz w:val="20"/>
          <w:szCs w:val="20"/>
        </w:rPr>
      </w:pPr>
      <w:bookmarkStart w:id="0" w:name="_Hlk200582661"/>
      <w:r w:rsidRPr="006E2D18">
        <w:rPr>
          <w:rFonts w:ascii="Arial" w:hAnsi="Arial" w:cs="Arial"/>
          <w:b/>
          <w:bCs/>
          <w:sz w:val="20"/>
          <w:szCs w:val="20"/>
        </w:rPr>
        <w:t xml:space="preserve">Resolución (CA) </w:t>
      </w:r>
      <w:bookmarkEnd w:id="0"/>
      <w:r w:rsidRPr="006E2D18">
        <w:rPr>
          <w:rFonts w:ascii="Arial" w:hAnsi="Arial" w:cs="Arial"/>
          <w:b/>
          <w:bCs/>
          <w:sz w:val="20"/>
          <w:szCs w:val="20"/>
        </w:rPr>
        <w:t>N°</w:t>
      </w:r>
      <w:r w:rsidR="006E2D18" w:rsidRPr="006E2D18">
        <w:rPr>
          <w:rFonts w:ascii="Arial" w:hAnsi="Arial" w:cs="Arial"/>
          <w:b/>
          <w:bCs/>
          <w:sz w:val="20"/>
          <w:szCs w:val="20"/>
        </w:rPr>
        <w:t xml:space="preserve"> </w:t>
      </w:r>
      <w:r w:rsidR="0046391C">
        <w:rPr>
          <w:rFonts w:ascii="Arial" w:hAnsi="Arial" w:cs="Arial"/>
          <w:b/>
          <w:bCs/>
          <w:sz w:val="20"/>
          <w:szCs w:val="20"/>
        </w:rPr>
        <w:t>13</w:t>
      </w:r>
      <w:r w:rsidR="006E2D18" w:rsidRPr="006E2D18">
        <w:rPr>
          <w:rFonts w:ascii="Arial" w:hAnsi="Arial" w:cs="Arial"/>
          <w:b/>
          <w:bCs/>
          <w:sz w:val="20"/>
          <w:szCs w:val="20"/>
        </w:rPr>
        <w:t>.</w:t>
      </w:r>
      <w:r w:rsidR="006E2D18" w:rsidRPr="006E2D18">
        <w:rPr>
          <w:b/>
          <w:bCs/>
        </w:rPr>
        <w:t xml:space="preserve"> </w:t>
      </w:r>
      <w:r w:rsidR="006E2D18" w:rsidRPr="006E2D18">
        <w:rPr>
          <w:rFonts w:ascii="Arial" w:hAnsi="Arial" w:cs="Arial"/>
          <w:b/>
          <w:bCs/>
          <w:sz w:val="20"/>
          <w:szCs w:val="20"/>
        </w:rPr>
        <w:t>“</w:t>
      </w:r>
      <w:proofErr w:type="spellStart"/>
      <w:r w:rsidR="0059256A" w:rsidRPr="0059256A">
        <w:rPr>
          <w:rFonts w:ascii="Arial" w:hAnsi="Arial" w:cs="Arial"/>
          <w:b/>
          <w:bCs/>
          <w:sz w:val="20"/>
          <w:szCs w:val="20"/>
        </w:rPr>
        <w:t>Yabito</w:t>
      </w:r>
      <w:proofErr w:type="spellEnd"/>
      <w:r w:rsidR="0059256A" w:rsidRPr="0059256A">
        <w:rPr>
          <w:rFonts w:ascii="Arial" w:hAnsi="Arial" w:cs="Arial"/>
          <w:b/>
          <w:bCs/>
          <w:sz w:val="20"/>
          <w:szCs w:val="20"/>
        </w:rPr>
        <w:t xml:space="preserve"> SA c/ provincia de Corrientes</w:t>
      </w:r>
      <w:r w:rsidR="006E2D18" w:rsidRPr="006E2D18">
        <w:rPr>
          <w:rFonts w:ascii="Arial" w:hAnsi="Arial" w:cs="Arial"/>
          <w:b/>
          <w:bCs/>
          <w:sz w:val="20"/>
          <w:szCs w:val="20"/>
        </w:rPr>
        <w:t xml:space="preserve">”. </w:t>
      </w:r>
      <w:proofErr w:type="spellStart"/>
      <w:r w:rsidR="0059256A" w:rsidRPr="0059256A">
        <w:rPr>
          <w:rFonts w:ascii="Arial" w:hAnsi="Arial" w:cs="Arial"/>
          <w:b/>
          <w:bCs/>
          <w:sz w:val="20"/>
          <w:szCs w:val="20"/>
        </w:rPr>
        <w:t>Expte</w:t>
      </w:r>
      <w:proofErr w:type="spellEnd"/>
      <w:r w:rsidR="0059256A" w:rsidRPr="0059256A">
        <w:rPr>
          <w:rFonts w:ascii="Arial" w:hAnsi="Arial" w:cs="Arial"/>
          <w:b/>
          <w:bCs/>
          <w:sz w:val="20"/>
          <w:szCs w:val="20"/>
        </w:rPr>
        <w:t>. CM N° 1771/2023</w:t>
      </w:r>
      <w:r w:rsidR="0059256A">
        <w:rPr>
          <w:rFonts w:ascii="Arial" w:hAnsi="Arial" w:cs="Arial"/>
          <w:b/>
          <w:bCs/>
          <w:sz w:val="20"/>
          <w:szCs w:val="20"/>
        </w:rPr>
        <w:t xml:space="preserve">. </w:t>
      </w:r>
      <w:r w:rsidR="006E2D18" w:rsidRPr="006E2D18">
        <w:rPr>
          <w:rFonts w:ascii="Arial" w:hAnsi="Arial" w:cs="Arial"/>
          <w:b/>
          <w:bCs/>
          <w:sz w:val="20"/>
          <w:szCs w:val="20"/>
        </w:rPr>
        <w:t>1</w:t>
      </w:r>
      <w:r w:rsidR="0059256A">
        <w:rPr>
          <w:rFonts w:ascii="Arial" w:hAnsi="Arial" w:cs="Arial"/>
          <w:b/>
          <w:bCs/>
          <w:sz w:val="20"/>
          <w:szCs w:val="20"/>
        </w:rPr>
        <w:t>1</w:t>
      </w:r>
      <w:r w:rsidR="006E2D18" w:rsidRPr="006E2D18">
        <w:rPr>
          <w:rFonts w:ascii="Arial" w:hAnsi="Arial" w:cs="Arial"/>
          <w:b/>
          <w:bCs/>
          <w:sz w:val="20"/>
          <w:szCs w:val="20"/>
        </w:rPr>
        <w:t>/0</w:t>
      </w:r>
      <w:r w:rsidR="0059256A">
        <w:rPr>
          <w:rFonts w:ascii="Arial" w:hAnsi="Arial" w:cs="Arial"/>
          <w:b/>
          <w:bCs/>
          <w:sz w:val="20"/>
          <w:szCs w:val="20"/>
        </w:rPr>
        <w:t>6</w:t>
      </w:r>
      <w:r w:rsidR="006E2D18" w:rsidRPr="006E2D18">
        <w:rPr>
          <w:rFonts w:ascii="Arial" w:hAnsi="Arial" w:cs="Arial"/>
          <w:b/>
          <w:bCs/>
          <w:sz w:val="20"/>
          <w:szCs w:val="20"/>
        </w:rPr>
        <w:t>/2025</w:t>
      </w:r>
      <w:r w:rsidR="006E2D18">
        <w:rPr>
          <w:rFonts w:ascii="Arial" w:hAnsi="Arial" w:cs="Arial"/>
          <w:sz w:val="20"/>
          <w:szCs w:val="20"/>
        </w:rPr>
        <w:t>.</w:t>
      </w:r>
    </w:p>
    <w:p w14:paraId="1063E7A0" w14:textId="312EE08A" w:rsidR="0059256A" w:rsidRDefault="0059256A" w:rsidP="0059256A">
      <w:pPr>
        <w:spacing w:line="360" w:lineRule="atLeast"/>
        <w:jc w:val="both"/>
        <w:rPr>
          <w:rFonts w:ascii="Arial" w:hAnsi="Arial" w:cs="Arial"/>
          <w:sz w:val="20"/>
          <w:szCs w:val="20"/>
        </w:rPr>
      </w:pPr>
      <w:r>
        <w:rPr>
          <w:rFonts w:ascii="Arial" w:hAnsi="Arial" w:cs="Arial"/>
          <w:sz w:val="20"/>
          <w:szCs w:val="20"/>
        </w:rPr>
        <w:t xml:space="preserve">En el presente caso, </w:t>
      </w:r>
      <w:r w:rsidRPr="0059256A">
        <w:rPr>
          <w:rFonts w:ascii="Arial" w:hAnsi="Arial" w:cs="Arial"/>
          <w:sz w:val="20"/>
          <w:szCs w:val="20"/>
        </w:rPr>
        <w:t>los aspectos a resolver son los siguientes: i. Si las compras realizadas por la</w:t>
      </w:r>
      <w:r>
        <w:rPr>
          <w:rFonts w:ascii="Arial" w:hAnsi="Arial" w:cs="Arial"/>
          <w:sz w:val="20"/>
          <w:szCs w:val="20"/>
        </w:rPr>
        <w:t xml:space="preserve"> </w:t>
      </w:r>
      <w:r w:rsidRPr="0059256A">
        <w:rPr>
          <w:rFonts w:ascii="Arial" w:hAnsi="Arial" w:cs="Arial"/>
          <w:sz w:val="20"/>
          <w:szCs w:val="20"/>
        </w:rPr>
        <w:t>accionante encuadran dentro del régimen especial del artículo 13, tercer párrafo, del</w:t>
      </w:r>
      <w:r>
        <w:rPr>
          <w:rFonts w:ascii="Arial" w:hAnsi="Arial" w:cs="Arial"/>
          <w:sz w:val="20"/>
          <w:szCs w:val="20"/>
        </w:rPr>
        <w:t xml:space="preserve"> </w:t>
      </w:r>
      <w:r w:rsidRPr="0059256A">
        <w:rPr>
          <w:rFonts w:ascii="Arial" w:hAnsi="Arial" w:cs="Arial"/>
          <w:sz w:val="20"/>
          <w:szCs w:val="20"/>
        </w:rPr>
        <w:t xml:space="preserve">Convenio Multilateral; </w:t>
      </w:r>
      <w:proofErr w:type="spellStart"/>
      <w:r w:rsidRPr="0059256A">
        <w:rPr>
          <w:rFonts w:ascii="Arial" w:hAnsi="Arial" w:cs="Arial"/>
          <w:sz w:val="20"/>
          <w:szCs w:val="20"/>
        </w:rPr>
        <w:t>ii</w:t>
      </w:r>
      <w:proofErr w:type="spellEnd"/>
      <w:r w:rsidRPr="0059256A">
        <w:rPr>
          <w:rFonts w:ascii="Arial" w:hAnsi="Arial" w:cs="Arial"/>
          <w:sz w:val="20"/>
          <w:szCs w:val="20"/>
        </w:rPr>
        <w:t>. Si es correcto que la provincia de Corrientes tome como</w:t>
      </w:r>
      <w:r>
        <w:rPr>
          <w:rFonts w:ascii="Arial" w:hAnsi="Arial" w:cs="Arial"/>
          <w:sz w:val="20"/>
          <w:szCs w:val="20"/>
        </w:rPr>
        <w:t xml:space="preserve"> </w:t>
      </w:r>
      <w:r w:rsidRPr="0059256A">
        <w:rPr>
          <w:rFonts w:ascii="Arial" w:hAnsi="Arial" w:cs="Arial"/>
          <w:sz w:val="20"/>
          <w:szCs w:val="20"/>
        </w:rPr>
        <w:t xml:space="preserve">momento de generación del hecho imponible el momento de la compra; y, </w:t>
      </w:r>
      <w:proofErr w:type="spellStart"/>
      <w:r w:rsidRPr="0059256A">
        <w:rPr>
          <w:rFonts w:ascii="Arial" w:hAnsi="Arial" w:cs="Arial"/>
          <w:sz w:val="20"/>
          <w:szCs w:val="20"/>
        </w:rPr>
        <w:t>iii</w:t>
      </w:r>
      <w:proofErr w:type="spellEnd"/>
      <w:r w:rsidRPr="0059256A">
        <w:rPr>
          <w:rFonts w:ascii="Arial" w:hAnsi="Arial" w:cs="Arial"/>
          <w:sz w:val="20"/>
          <w:szCs w:val="20"/>
        </w:rPr>
        <w:t>. Utilización</w:t>
      </w:r>
      <w:r>
        <w:rPr>
          <w:rFonts w:ascii="Arial" w:hAnsi="Arial" w:cs="Arial"/>
          <w:sz w:val="20"/>
          <w:szCs w:val="20"/>
        </w:rPr>
        <w:t xml:space="preserve"> </w:t>
      </w:r>
      <w:r w:rsidRPr="0059256A">
        <w:rPr>
          <w:rFonts w:ascii="Arial" w:hAnsi="Arial" w:cs="Arial"/>
          <w:sz w:val="20"/>
          <w:szCs w:val="20"/>
        </w:rPr>
        <w:t xml:space="preserve">de presunciones en la liquidación: valorización de las operaciones. </w:t>
      </w:r>
    </w:p>
    <w:p w14:paraId="1C0A19A1" w14:textId="2CF60A20" w:rsidR="0059256A" w:rsidRPr="0059256A" w:rsidRDefault="00897662" w:rsidP="0059256A">
      <w:pPr>
        <w:spacing w:line="360" w:lineRule="atLeast"/>
        <w:jc w:val="both"/>
        <w:rPr>
          <w:rFonts w:ascii="Arial" w:hAnsi="Arial" w:cs="Arial"/>
          <w:sz w:val="20"/>
          <w:szCs w:val="20"/>
        </w:rPr>
      </w:pPr>
      <w:r>
        <w:rPr>
          <w:rFonts w:ascii="Arial" w:hAnsi="Arial" w:cs="Arial"/>
          <w:sz w:val="20"/>
          <w:szCs w:val="20"/>
        </w:rPr>
        <w:t xml:space="preserve">Sobre el primer punto, </w:t>
      </w:r>
      <w:r w:rsidR="0059256A" w:rsidRPr="0059256A">
        <w:rPr>
          <w:rFonts w:ascii="Arial" w:hAnsi="Arial" w:cs="Arial"/>
          <w:sz w:val="20"/>
          <w:szCs w:val="20"/>
        </w:rPr>
        <w:t>se encuentra acreditado que se trata de la adquisición de</w:t>
      </w:r>
      <w:r>
        <w:rPr>
          <w:rFonts w:ascii="Arial" w:hAnsi="Arial" w:cs="Arial"/>
          <w:sz w:val="20"/>
          <w:szCs w:val="20"/>
        </w:rPr>
        <w:t xml:space="preserve"> </w:t>
      </w:r>
      <w:r w:rsidR="0059256A" w:rsidRPr="0059256A">
        <w:rPr>
          <w:rFonts w:ascii="Arial" w:hAnsi="Arial" w:cs="Arial"/>
          <w:sz w:val="20"/>
          <w:szCs w:val="20"/>
        </w:rPr>
        <w:t>productos primarios (ganado) a su propio productor;</w:t>
      </w:r>
      <w:r>
        <w:rPr>
          <w:rFonts w:ascii="Arial" w:hAnsi="Arial" w:cs="Arial"/>
          <w:sz w:val="20"/>
          <w:szCs w:val="20"/>
        </w:rPr>
        <w:t xml:space="preserve"> </w:t>
      </w:r>
      <w:r w:rsidR="0059256A" w:rsidRPr="0059256A">
        <w:rPr>
          <w:rFonts w:ascii="Arial" w:hAnsi="Arial" w:cs="Arial"/>
          <w:sz w:val="20"/>
          <w:szCs w:val="20"/>
        </w:rPr>
        <w:t>está también acreditado que el ganado ha sido sacado de la jurisdicción productora.</w:t>
      </w:r>
    </w:p>
    <w:p w14:paraId="45A43AA7" w14:textId="3B2B69D3" w:rsidR="0059256A" w:rsidRDefault="0059256A" w:rsidP="0059256A">
      <w:pPr>
        <w:spacing w:line="360" w:lineRule="atLeast"/>
        <w:jc w:val="both"/>
        <w:rPr>
          <w:rFonts w:ascii="Arial" w:hAnsi="Arial" w:cs="Arial"/>
          <w:sz w:val="20"/>
          <w:szCs w:val="20"/>
        </w:rPr>
      </w:pPr>
      <w:r w:rsidRPr="0059256A">
        <w:rPr>
          <w:rFonts w:ascii="Arial" w:hAnsi="Arial" w:cs="Arial"/>
          <w:sz w:val="20"/>
          <w:szCs w:val="20"/>
        </w:rPr>
        <w:t>Sobre el particular, los organismos de aplicación del Convenio Multilateral han</w:t>
      </w:r>
      <w:r w:rsidR="00897662">
        <w:rPr>
          <w:rFonts w:ascii="Arial" w:hAnsi="Arial" w:cs="Arial"/>
          <w:sz w:val="20"/>
          <w:szCs w:val="20"/>
        </w:rPr>
        <w:t xml:space="preserve"> </w:t>
      </w:r>
      <w:r w:rsidRPr="0059256A">
        <w:rPr>
          <w:rFonts w:ascii="Arial" w:hAnsi="Arial" w:cs="Arial"/>
          <w:sz w:val="20"/>
          <w:szCs w:val="20"/>
        </w:rPr>
        <w:t>señalado que la intervención de intermediarios, por cuenta y orden del productor no altera,</w:t>
      </w:r>
      <w:r w:rsidR="00897662">
        <w:rPr>
          <w:rFonts w:ascii="Arial" w:hAnsi="Arial" w:cs="Arial"/>
          <w:sz w:val="20"/>
          <w:szCs w:val="20"/>
        </w:rPr>
        <w:t xml:space="preserve"> </w:t>
      </w:r>
      <w:r w:rsidRPr="0059256A">
        <w:rPr>
          <w:rFonts w:ascii="Arial" w:hAnsi="Arial" w:cs="Arial"/>
          <w:sz w:val="20"/>
          <w:szCs w:val="20"/>
        </w:rPr>
        <w:t>en modo alguno la aplicación del instituto de la mera compra (RCA 13/2020 y RCP</w:t>
      </w:r>
      <w:r w:rsidR="00897662">
        <w:rPr>
          <w:rFonts w:ascii="Arial" w:hAnsi="Arial" w:cs="Arial"/>
          <w:sz w:val="20"/>
          <w:szCs w:val="20"/>
        </w:rPr>
        <w:t xml:space="preserve"> </w:t>
      </w:r>
      <w:r w:rsidRPr="0059256A">
        <w:rPr>
          <w:rFonts w:ascii="Arial" w:hAnsi="Arial" w:cs="Arial"/>
          <w:sz w:val="20"/>
          <w:szCs w:val="20"/>
        </w:rPr>
        <w:t>09/2021).</w:t>
      </w:r>
    </w:p>
    <w:p w14:paraId="3380F15A" w14:textId="77777777" w:rsidR="00897662" w:rsidRDefault="00897662" w:rsidP="00897662">
      <w:pPr>
        <w:spacing w:line="360" w:lineRule="atLeast"/>
        <w:jc w:val="both"/>
        <w:rPr>
          <w:rFonts w:ascii="Arial" w:hAnsi="Arial" w:cs="Arial"/>
          <w:sz w:val="20"/>
          <w:szCs w:val="20"/>
        </w:rPr>
      </w:pPr>
      <w:r>
        <w:rPr>
          <w:rFonts w:ascii="Arial" w:hAnsi="Arial" w:cs="Arial"/>
          <w:sz w:val="20"/>
          <w:szCs w:val="20"/>
        </w:rPr>
        <w:lastRenderedPageBreak/>
        <w:t xml:space="preserve">Sobre el segundo ítem, momento de generación del </w:t>
      </w:r>
      <w:r w:rsidRPr="00897662">
        <w:rPr>
          <w:rFonts w:ascii="Arial" w:hAnsi="Arial" w:cs="Arial"/>
          <w:sz w:val="20"/>
          <w:szCs w:val="20"/>
        </w:rPr>
        <w:t>hecho imponible</w:t>
      </w:r>
      <w:r>
        <w:rPr>
          <w:rFonts w:ascii="Arial" w:hAnsi="Arial" w:cs="Arial"/>
          <w:sz w:val="20"/>
          <w:szCs w:val="20"/>
        </w:rPr>
        <w:t xml:space="preserve">, </w:t>
      </w:r>
      <w:r w:rsidRPr="00897662">
        <w:rPr>
          <w:rFonts w:ascii="Arial" w:hAnsi="Arial" w:cs="Arial"/>
          <w:sz w:val="20"/>
          <w:szCs w:val="20"/>
        </w:rPr>
        <w:t>corresponde indicar que el Convenio Multilateral no establece</w:t>
      </w:r>
      <w:r>
        <w:rPr>
          <w:rFonts w:ascii="Arial" w:hAnsi="Arial" w:cs="Arial"/>
          <w:sz w:val="20"/>
          <w:szCs w:val="20"/>
        </w:rPr>
        <w:t xml:space="preserve"> </w:t>
      </w:r>
      <w:r w:rsidRPr="00897662">
        <w:rPr>
          <w:rFonts w:ascii="Arial" w:hAnsi="Arial" w:cs="Arial"/>
          <w:sz w:val="20"/>
          <w:szCs w:val="20"/>
        </w:rPr>
        <w:t>o crea hechos imponibles, ni tampoco regula o regla el momento del nacimiento del hecho</w:t>
      </w:r>
      <w:r>
        <w:rPr>
          <w:rFonts w:ascii="Arial" w:hAnsi="Arial" w:cs="Arial"/>
          <w:sz w:val="20"/>
          <w:szCs w:val="20"/>
        </w:rPr>
        <w:t xml:space="preserve"> </w:t>
      </w:r>
      <w:r w:rsidRPr="00897662">
        <w:rPr>
          <w:rFonts w:ascii="Arial" w:hAnsi="Arial" w:cs="Arial"/>
          <w:sz w:val="20"/>
          <w:szCs w:val="20"/>
        </w:rPr>
        <w:t>imponible.</w:t>
      </w:r>
      <w:r w:rsidRPr="00897662">
        <w:t xml:space="preserve"> </w:t>
      </w:r>
      <w:r w:rsidRPr="00897662">
        <w:rPr>
          <w:rFonts w:ascii="Arial" w:hAnsi="Arial" w:cs="Arial"/>
          <w:sz w:val="20"/>
          <w:szCs w:val="20"/>
        </w:rPr>
        <w:t>Se ha señalado al respecto: …el objetivo del Convenio Multilateral no es</w:t>
      </w:r>
      <w:r>
        <w:rPr>
          <w:rFonts w:ascii="Arial" w:hAnsi="Arial" w:cs="Arial"/>
          <w:sz w:val="20"/>
          <w:szCs w:val="20"/>
        </w:rPr>
        <w:t xml:space="preserve"> </w:t>
      </w:r>
      <w:r w:rsidRPr="00897662">
        <w:rPr>
          <w:rFonts w:ascii="Arial" w:hAnsi="Arial" w:cs="Arial"/>
          <w:sz w:val="20"/>
          <w:szCs w:val="20"/>
        </w:rPr>
        <w:t>establecer impuesto alguno, llámense éstos “especiales” o “subsidiarios”, puesto que ha</w:t>
      </w:r>
      <w:r>
        <w:rPr>
          <w:rFonts w:ascii="Arial" w:hAnsi="Arial" w:cs="Arial"/>
          <w:sz w:val="20"/>
          <w:szCs w:val="20"/>
        </w:rPr>
        <w:t xml:space="preserve"> </w:t>
      </w:r>
      <w:r w:rsidRPr="00897662">
        <w:rPr>
          <w:rFonts w:ascii="Arial" w:hAnsi="Arial" w:cs="Arial"/>
          <w:sz w:val="20"/>
          <w:szCs w:val="20"/>
        </w:rPr>
        <w:t>sido concebido como una herramienta de distribución de los ingresos brutos totales del</w:t>
      </w:r>
      <w:r>
        <w:rPr>
          <w:rFonts w:ascii="Arial" w:hAnsi="Arial" w:cs="Arial"/>
          <w:sz w:val="20"/>
          <w:szCs w:val="20"/>
        </w:rPr>
        <w:t xml:space="preserve"> </w:t>
      </w:r>
      <w:r w:rsidRPr="00897662">
        <w:rPr>
          <w:rFonts w:ascii="Arial" w:hAnsi="Arial" w:cs="Arial"/>
          <w:sz w:val="20"/>
          <w:szCs w:val="20"/>
        </w:rPr>
        <w:t>contribuyente a los fines de evitar la doble o múltiple imposición. Sólo los fiscos locales</w:t>
      </w:r>
      <w:r>
        <w:rPr>
          <w:rFonts w:ascii="Arial" w:hAnsi="Arial" w:cs="Arial"/>
          <w:sz w:val="20"/>
          <w:szCs w:val="20"/>
        </w:rPr>
        <w:t xml:space="preserve"> </w:t>
      </w:r>
      <w:r w:rsidRPr="00897662">
        <w:rPr>
          <w:rFonts w:ascii="Arial" w:hAnsi="Arial" w:cs="Arial"/>
          <w:sz w:val="20"/>
          <w:szCs w:val="20"/>
        </w:rPr>
        <w:t>tienen la potestad exclusiva de establecer, mediante la legislación local pertinente, todo</w:t>
      </w:r>
      <w:r>
        <w:rPr>
          <w:rFonts w:ascii="Arial" w:hAnsi="Arial" w:cs="Arial"/>
          <w:sz w:val="20"/>
          <w:szCs w:val="20"/>
        </w:rPr>
        <w:t xml:space="preserve"> </w:t>
      </w:r>
      <w:r w:rsidRPr="00897662">
        <w:rPr>
          <w:rFonts w:ascii="Arial" w:hAnsi="Arial" w:cs="Arial"/>
          <w:sz w:val="20"/>
          <w:szCs w:val="20"/>
        </w:rPr>
        <w:t>lo relacionado al gravamen, hecho imponible, base imponible, alícuota, etc.</w:t>
      </w:r>
      <w:r>
        <w:rPr>
          <w:rFonts w:ascii="Arial" w:hAnsi="Arial" w:cs="Arial"/>
          <w:sz w:val="20"/>
          <w:szCs w:val="20"/>
        </w:rPr>
        <w:t xml:space="preserve"> </w:t>
      </w:r>
    </w:p>
    <w:p w14:paraId="2CF669EF" w14:textId="7FAFBCF6" w:rsidR="00897662" w:rsidRPr="00897662" w:rsidRDefault="00897662" w:rsidP="00897662">
      <w:pPr>
        <w:spacing w:line="360" w:lineRule="atLeast"/>
        <w:jc w:val="both"/>
        <w:rPr>
          <w:rFonts w:ascii="Arial" w:hAnsi="Arial" w:cs="Arial"/>
          <w:b/>
          <w:bCs/>
          <w:i/>
          <w:iCs/>
          <w:sz w:val="20"/>
          <w:szCs w:val="20"/>
        </w:rPr>
      </w:pPr>
      <w:r w:rsidRPr="00897662">
        <w:rPr>
          <w:rFonts w:ascii="Arial" w:hAnsi="Arial" w:cs="Arial"/>
          <w:b/>
          <w:bCs/>
          <w:i/>
          <w:iCs/>
          <w:sz w:val="20"/>
          <w:szCs w:val="20"/>
        </w:rPr>
        <w:t xml:space="preserve">… cuando la norma </w:t>
      </w:r>
      <w:proofErr w:type="spellStart"/>
      <w:r w:rsidRPr="00897662">
        <w:rPr>
          <w:rFonts w:ascii="Arial" w:hAnsi="Arial" w:cs="Arial"/>
          <w:b/>
          <w:bCs/>
          <w:i/>
          <w:iCs/>
          <w:sz w:val="20"/>
          <w:szCs w:val="20"/>
        </w:rPr>
        <w:t>especifica</w:t>
      </w:r>
      <w:proofErr w:type="spellEnd"/>
      <w:r w:rsidRPr="00897662">
        <w:rPr>
          <w:rFonts w:ascii="Arial" w:hAnsi="Arial" w:cs="Arial"/>
          <w:b/>
          <w:bCs/>
          <w:i/>
          <w:iCs/>
          <w:sz w:val="20"/>
          <w:szCs w:val="20"/>
        </w:rPr>
        <w:t xml:space="preserve"> que, para el caso de la mera compra, se asigna una porción de los ingresos no se pretende significar que el valor de compra es lo inmediatamente </w:t>
      </w:r>
      <w:proofErr w:type="gramStart"/>
      <w:r w:rsidRPr="00897662">
        <w:rPr>
          <w:rFonts w:ascii="Arial" w:hAnsi="Arial" w:cs="Arial"/>
          <w:b/>
          <w:bCs/>
          <w:i/>
          <w:iCs/>
          <w:sz w:val="20"/>
          <w:szCs w:val="20"/>
        </w:rPr>
        <w:t>atribuible</w:t>
      </w:r>
      <w:proofErr w:type="gramEnd"/>
      <w:r w:rsidRPr="00897662">
        <w:rPr>
          <w:rFonts w:ascii="Arial" w:hAnsi="Arial" w:cs="Arial"/>
          <w:b/>
          <w:bCs/>
          <w:i/>
          <w:iCs/>
          <w:sz w:val="20"/>
          <w:szCs w:val="20"/>
        </w:rPr>
        <w:t xml:space="preserve"> sino que, ese valor es el parámetro que se toma para detraer de los ingresos totales una parte de éstos para, en su oportunidad, atribuirlos a la jurisdicción productora, mientras que el resto de ellos se asignarán en función del régimen previsto en la misma disposición (RCA 32/2005).</w:t>
      </w:r>
    </w:p>
    <w:p w14:paraId="6D6C9409" w14:textId="66622A69" w:rsidR="00897662" w:rsidRPr="00897662" w:rsidRDefault="00897662" w:rsidP="00897662">
      <w:pPr>
        <w:spacing w:line="360" w:lineRule="atLeast"/>
        <w:jc w:val="both"/>
        <w:rPr>
          <w:rFonts w:ascii="Arial" w:hAnsi="Arial" w:cs="Arial"/>
          <w:b/>
          <w:bCs/>
          <w:sz w:val="20"/>
          <w:szCs w:val="20"/>
        </w:rPr>
      </w:pPr>
      <w:r>
        <w:rPr>
          <w:rFonts w:ascii="Arial" w:hAnsi="Arial" w:cs="Arial"/>
          <w:sz w:val="20"/>
          <w:szCs w:val="20"/>
        </w:rPr>
        <w:t>A pesar de citar este antecedente, concluye: e</w:t>
      </w:r>
      <w:r w:rsidRPr="00897662">
        <w:rPr>
          <w:rFonts w:ascii="Arial" w:hAnsi="Arial" w:cs="Arial"/>
          <w:sz w:val="20"/>
          <w:szCs w:val="20"/>
        </w:rPr>
        <w:t xml:space="preserve">s por ello </w:t>
      </w:r>
      <w:proofErr w:type="gramStart"/>
      <w:r w:rsidRPr="00897662">
        <w:rPr>
          <w:rFonts w:ascii="Arial" w:hAnsi="Arial" w:cs="Arial"/>
          <w:sz w:val="20"/>
          <w:szCs w:val="20"/>
        </w:rPr>
        <w:t>que</w:t>
      </w:r>
      <w:proofErr w:type="gramEnd"/>
      <w:r w:rsidRPr="00897662">
        <w:rPr>
          <w:rFonts w:ascii="Arial" w:hAnsi="Arial" w:cs="Arial"/>
          <w:sz w:val="20"/>
          <w:szCs w:val="20"/>
        </w:rPr>
        <w:t xml:space="preserve"> el momento del nacimiento del hecho imponible es un aspecto</w:t>
      </w:r>
      <w:r>
        <w:rPr>
          <w:rFonts w:ascii="Arial" w:hAnsi="Arial" w:cs="Arial"/>
          <w:sz w:val="20"/>
          <w:szCs w:val="20"/>
        </w:rPr>
        <w:t xml:space="preserve"> </w:t>
      </w:r>
      <w:r w:rsidRPr="00897662">
        <w:rPr>
          <w:rFonts w:ascii="Arial" w:hAnsi="Arial" w:cs="Arial"/>
          <w:sz w:val="20"/>
          <w:szCs w:val="20"/>
        </w:rPr>
        <w:t>ajeno al Convenio Multilateral, siendo que este acuerdo atiende principalmente a la</w:t>
      </w:r>
      <w:r>
        <w:rPr>
          <w:rFonts w:ascii="Arial" w:hAnsi="Arial" w:cs="Arial"/>
          <w:sz w:val="20"/>
          <w:szCs w:val="20"/>
        </w:rPr>
        <w:t xml:space="preserve"> </w:t>
      </w:r>
      <w:r w:rsidRPr="00897662">
        <w:rPr>
          <w:rFonts w:ascii="Arial" w:hAnsi="Arial" w:cs="Arial"/>
          <w:sz w:val="20"/>
          <w:szCs w:val="20"/>
        </w:rPr>
        <w:t xml:space="preserve">distribución interjurisdiccional de los ingresos totales del contribuyente, </w:t>
      </w:r>
      <w:r w:rsidRPr="00897662">
        <w:rPr>
          <w:rFonts w:ascii="Arial" w:hAnsi="Arial" w:cs="Arial"/>
          <w:b/>
          <w:bCs/>
          <w:sz w:val="20"/>
          <w:szCs w:val="20"/>
        </w:rPr>
        <w:t xml:space="preserve">por lo tanto, </w:t>
      </w:r>
      <w:proofErr w:type="gramStart"/>
      <w:r w:rsidRPr="00897662">
        <w:rPr>
          <w:rFonts w:ascii="Arial" w:hAnsi="Arial" w:cs="Arial"/>
          <w:b/>
          <w:bCs/>
          <w:sz w:val="20"/>
          <w:szCs w:val="20"/>
        </w:rPr>
        <w:t>en relación a</w:t>
      </w:r>
      <w:proofErr w:type="gramEnd"/>
      <w:r w:rsidRPr="00897662">
        <w:rPr>
          <w:rFonts w:ascii="Arial" w:hAnsi="Arial" w:cs="Arial"/>
          <w:b/>
          <w:bCs/>
          <w:sz w:val="20"/>
          <w:szCs w:val="20"/>
        </w:rPr>
        <w:t xml:space="preserve"> este planteo la Comisión Arbitral resulta incompetente.</w:t>
      </w:r>
    </w:p>
    <w:p w14:paraId="3F0764C4" w14:textId="62074AD2" w:rsidR="0059256A" w:rsidRDefault="00897662" w:rsidP="00DD2EC6">
      <w:pPr>
        <w:spacing w:line="360" w:lineRule="atLeast"/>
        <w:jc w:val="both"/>
        <w:rPr>
          <w:rFonts w:ascii="Arial" w:hAnsi="Arial" w:cs="Arial"/>
          <w:sz w:val="20"/>
          <w:szCs w:val="20"/>
        </w:rPr>
      </w:pPr>
      <w:r>
        <w:rPr>
          <w:rFonts w:ascii="Arial" w:hAnsi="Arial" w:cs="Arial"/>
          <w:sz w:val="20"/>
          <w:szCs w:val="20"/>
        </w:rPr>
        <w:t>Por último, en cuanto a la u</w:t>
      </w:r>
      <w:r w:rsidRPr="00897662">
        <w:rPr>
          <w:rFonts w:ascii="Arial" w:hAnsi="Arial" w:cs="Arial"/>
          <w:sz w:val="20"/>
          <w:szCs w:val="20"/>
        </w:rPr>
        <w:t>tilización de presunciones</w:t>
      </w:r>
      <w:r w:rsidR="00DD2EC6" w:rsidRPr="00DD2EC6">
        <w:t xml:space="preserve"> </w:t>
      </w:r>
      <w:r w:rsidR="00DD2EC6" w:rsidRPr="00DD2EC6">
        <w:rPr>
          <w:rFonts w:ascii="Arial" w:hAnsi="Arial" w:cs="Arial"/>
          <w:sz w:val="20"/>
          <w:szCs w:val="20"/>
        </w:rPr>
        <w:t>en los casos en que el fisco estimó el precio sobre la totalidad de las</w:t>
      </w:r>
      <w:r w:rsidR="00DD2EC6">
        <w:rPr>
          <w:rFonts w:ascii="Arial" w:hAnsi="Arial" w:cs="Arial"/>
          <w:sz w:val="20"/>
          <w:szCs w:val="20"/>
        </w:rPr>
        <w:t xml:space="preserve"> </w:t>
      </w:r>
      <w:r w:rsidR="00DD2EC6" w:rsidRPr="00DD2EC6">
        <w:rPr>
          <w:rFonts w:ascii="Arial" w:hAnsi="Arial" w:cs="Arial"/>
          <w:sz w:val="20"/>
          <w:szCs w:val="20"/>
        </w:rPr>
        <w:t>operaciones del periodo, sin que exista una operación cierta, se ha apartado de las</w:t>
      </w:r>
      <w:r w:rsidR="00DD2EC6">
        <w:rPr>
          <w:rFonts w:ascii="Arial" w:hAnsi="Arial" w:cs="Arial"/>
          <w:sz w:val="20"/>
          <w:szCs w:val="20"/>
        </w:rPr>
        <w:t xml:space="preserve"> </w:t>
      </w:r>
      <w:r w:rsidR="00DD2EC6" w:rsidRPr="00DD2EC6">
        <w:rPr>
          <w:rFonts w:ascii="Arial" w:hAnsi="Arial" w:cs="Arial"/>
          <w:sz w:val="20"/>
          <w:szCs w:val="20"/>
        </w:rPr>
        <w:t>prescripciones del propio Convenio Multilateral (arts. 13 tercer párrafo y 27 del CM) y,</w:t>
      </w:r>
      <w:r w:rsidR="00DD2EC6">
        <w:rPr>
          <w:rFonts w:ascii="Arial" w:hAnsi="Arial" w:cs="Arial"/>
          <w:sz w:val="20"/>
          <w:szCs w:val="20"/>
        </w:rPr>
        <w:t xml:space="preserve"> </w:t>
      </w:r>
      <w:r w:rsidR="00DD2EC6" w:rsidRPr="00DD2EC6">
        <w:rPr>
          <w:rFonts w:ascii="Arial" w:hAnsi="Arial" w:cs="Arial"/>
          <w:sz w:val="20"/>
          <w:szCs w:val="20"/>
        </w:rPr>
        <w:t>en consecuencia, deberá reliquidar aquellas operaciones en las que se ha estimado el valor</w:t>
      </w:r>
      <w:r w:rsidR="00DD2EC6">
        <w:rPr>
          <w:rFonts w:ascii="Arial" w:hAnsi="Arial" w:cs="Arial"/>
          <w:sz w:val="20"/>
          <w:szCs w:val="20"/>
        </w:rPr>
        <w:t xml:space="preserve"> </w:t>
      </w:r>
      <w:r w:rsidR="00DD2EC6" w:rsidRPr="00DD2EC6">
        <w:rPr>
          <w:rFonts w:ascii="Arial" w:hAnsi="Arial" w:cs="Arial"/>
          <w:sz w:val="20"/>
          <w:szCs w:val="20"/>
        </w:rPr>
        <w:t>de conformidad con lo establecido en el art. 13, tercer párrafo, del</w:t>
      </w:r>
      <w:r w:rsidR="00DD2EC6">
        <w:rPr>
          <w:rFonts w:ascii="Arial" w:hAnsi="Arial" w:cs="Arial"/>
          <w:sz w:val="20"/>
          <w:szCs w:val="20"/>
        </w:rPr>
        <w:t xml:space="preserve"> </w:t>
      </w:r>
      <w:r w:rsidR="00DD2EC6" w:rsidRPr="00DD2EC6">
        <w:rPr>
          <w:rFonts w:ascii="Arial" w:hAnsi="Arial" w:cs="Arial"/>
          <w:sz w:val="20"/>
          <w:szCs w:val="20"/>
        </w:rPr>
        <w:t>Convenio Multilateral</w:t>
      </w:r>
      <w:r w:rsidR="00DD2EC6">
        <w:rPr>
          <w:rFonts w:ascii="Arial" w:hAnsi="Arial" w:cs="Arial"/>
          <w:sz w:val="20"/>
          <w:szCs w:val="20"/>
        </w:rPr>
        <w:t>.</w:t>
      </w:r>
    </w:p>
    <w:p w14:paraId="4DC1568B" w14:textId="77777777" w:rsidR="0059256A" w:rsidRDefault="0059256A" w:rsidP="006E2D18">
      <w:pPr>
        <w:spacing w:line="360" w:lineRule="atLeast"/>
        <w:jc w:val="both"/>
        <w:rPr>
          <w:rFonts w:ascii="Arial" w:hAnsi="Arial" w:cs="Arial"/>
          <w:sz w:val="20"/>
          <w:szCs w:val="20"/>
        </w:rPr>
      </w:pPr>
    </w:p>
    <w:p w14:paraId="6B2252F3" w14:textId="4708E973" w:rsidR="006E2D18" w:rsidRPr="006E2D18" w:rsidRDefault="006E2D18" w:rsidP="006E2D18">
      <w:pPr>
        <w:pStyle w:val="ListParagraph"/>
        <w:numPr>
          <w:ilvl w:val="0"/>
          <w:numId w:val="4"/>
        </w:numPr>
        <w:spacing w:line="360" w:lineRule="atLeast"/>
        <w:jc w:val="both"/>
        <w:rPr>
          <w:rFonts w:ascii="Arial" w:hAnsi="Arial" w:cs="Arial"/>
          <w:b/>
          <w:bCs/>
          <w:sz w:val="20"/>
          <w:szCs w:val="20"/>
        </w:rPr>
      </w:pPr>
      <w:r w:rsidRPr="006E2D18">
        <w:rPr>
          <w:rFonts w:ascii="Arial" w:hAnsi="Arial" w:cs="Arial"/>
          <w:b/>
          <w:bCs/>
          <w:sz w:val="20"/>
          <w:szCs w:val="20"/>
        </w:rPr>
        <w:t>Resolución (CA) 1</w:t>
      </w:r>
      <w:r w:rsidR="00DD2EC6">
        <w:rPr>
          <w:rFonts w:ascii="Arial" w:hAnsi="Arial" w:cs="Arial"/>
          <w:b/>
          <w:bCs/>
          <w:sz w:val="20"/>
          <w:szCs w:val="20"/>
        </w:rPr>
        <w:t>5</w:t>
      </w:r>
      <w:r w:rsidRPr="006E2D18">
        <w:rPr>
          <w:rFonts w:ascii="Arial" w:hAnsi="Arial" w:cs="Arial"/>
          <w:b/>
          <w:bCs/>
          <w:sz w:val="20"/>
          <w:szCs w:val="20"/>
        </w:rPr>
        <w:t>. “</w:t>
      </w:r>
      <w:proofErr w:type="spellStart"/>
      <w:r w:rsidR="00DD2EC6" w:rsidRPr="00DD2EC6">
        <w:rPr>
          <w:rFonts w:ascii="Arial" w:hAnsi="Arial" w:cs="Arial"/>
          <w:b/>
          <w:bCs/>
          <w:sz w:val="20"/>
          <w:szCs w:val="20"/>
        </w:rPr>
        <w:t>Gepal</w:t>
      </w:r>
      <w:proofErr w:type="spellEnd"/>
      <w:r w:rsidR="00DD2EC6" w:rsidRPr="00DD2EC6">
        <w:rPr>
          <w:rFonts w:ascii="Arial" w:hAnsi="Arial" w:cs="Arial"/>
          <w:b/>
          <w:bCs/>
          <w:sz w:val="20"/>
          <w:szCs w:val="20"/>
        </w:rPr>
        <w:t xml:space="preserve"> SA y sus responsables solidarios c/ provincia de Buenos Aires - </w:t>
      </w:r>
      <w:proofErr w:type="spellStart"/>
      <w:r w:rsidR="00DD2EC6" w:rsidRPr="00DD2EC6">
        <w:rPr>
          <w:rFonts w:ascii="Arial" w:hAnsi="Arial" w:cs="Arial"/>
          <w:b/>
          <w:bCs/>
          <w:sz w:val="20"/>
          <w:szCs w:val="20"/>
        </w:rPr>
        <w:t>Expte</w:t>
      </w:r>
      <w:proofErr w:type="spellEnd"/>
      <w:r w:rsidR="00DD2EC6" w:rsidRPr="00DD2EC6">
        <w:rPr>
          <w:rFonts w:ascii="Arial" w:hAnsi="Arial" w:cs="Arial"/>
          <w:b/>
          <w:bCs/>
          <w:sz w:val="20"/>
          <w:szCs w:val="20"/>
        </w:rPr>
        <w:t>. CM N° 1789/2024</w:t>
      </w:r>
      <w:r w:rsidRPr="006E2D18">
        <w:rPr>
          <w:rFonts w:ascii="Arial" w:hAnsi="Arial" w:cs="Arial"/>
          <w:b/>
          <w:bCs/>
          <w:sz w:val="20"/>
          <w:szCs w:val="20"/>
        </w:rPr>
        <w:t>”. 1</w:t>
      </w:r>
      <w:r w:rsidR="00DD2EC6">
        <w:rPr>
          <w:rFonts w:ascii="Arial" w:hAnsi="Arial" w:cs="Arial"/>
          <w:b/>
          <w:bCs/>
          <w:sz w:val="20"/>
          <w:szCs w:val="20"/>
        </w:rPr>
        <w:t>1</w:t>
      </w:r>
      <w:r w:rsidRPr="006E2D18">
        <w:rPr>
          <w:rFonts w:ascii="Arial" w:hAnsi="Arial" w:cs="Arial"/>
          <w:b/>
          <w:bCs/>
          <w:sz w:val="20"/>
          <w:szCs w:val="20"/>
        </w:rPr>
        <w:t>/0</w:t>
      </w:r>
      <w:r w:rsidR="00DD2EC6">
        <w:rPr>
          <w:rFonts w:ascii="Arial" w:hAnsi="Arial" w:cs="Arial"/>
          <w:b/>
          <w:bCs/>
          <w:sz w:val="20"/>
          <w:szCs w:val="20"/>
        </w:rPr>
        <w:t>6</w:t>
      </w:r>
      <w:r w:rsidRPr="006E2D18">
        <w:rPr>
          <w:rFonts w:ascii="Arial" w:hAnsi="Arial" w:cs="Arial"/>
          <w:b/>
          <w:bCs/>
          <w:sz w:val="20"/>
          <w:szCs w:val="20"/>
        </w:rPr>
        <w:t>/2025.</w:t>
      </w:r>
    </w:p>
    <w:p w14:paraId="7B9A3EFF" w14:textId="3573DE85" w:rsidR="006E2D18" w:rsidRDefault="003B079E" w:rsidP="00DD2EC6">
      <w:pPr>
        <w:spacing w:line="360" w:lineRule="atLeast"/>
        <w:jc w:val="both"/>
        <w:rPr>
          <w:rFonts w:ascii="Arial" w:hAnsi="Arial" w:cs="Arial"/>
          <w:sz w:val="20"/>
          <w:szCs w:val="20"/>
        </w:rPr>
      </w:pPr>
      <w:r>
        <w:rPr>
          <w:rFonts w:ascii="Arial" w:hAnsi="Arial" w:cs="Arial"/>
          <w:sz w:val="20"/>
          <w:szCs w:val="20"/>
        </w:rPr>
        <w:t>L</w:t>
      </w:r>
      <w:r w:rsidRPr="003B079E">
        <w:rPr>
          <w:rFonts w:ascii="Arial" w:hAnsi="Arial" w:cs="Arial"/>
          <w:sz w:val="20"/>
          <w:szCs w:val="20"/>
        </w:rPr>
        <w:t xml:space="preserve">a controversia se centra en determinar </w:t>
      </w:r>
      <w:r w:rsidR="00DD2EC6" w:rsidRPr="00DD2EC6">
        <w:rPr>
          <w:rFonts w:ascii="Arial" w:hAnsi="Arial" w:cs="Arial"/>
          <w:sz w:val="20"/>
          <w:szCs w:val="20"/>
        </w:rPr>
        <w:t>es si las diferencias de cambio calculadas por el contribuyente en el coeficiente de</w:t>
      </w:r>
      <w:r w:rsidR="00461674">
        <w:rPr>
          <w:rFonts w:ascii="Arial" w:hAnsi="Arial" w:cs="Arial"/>
          <w:sz w:val="20"/>
          <w:szCs w:val="20"/>
        </w:rPr>
        <w:t xml:space="preserve"> </w:t>
      </w:r>
      <w:r w:rsidR="00DD2EC6" w:rsidRPr="00DD2EC6">
        <w:rPr>
          <w:rFonts w:ascii="Arial" w:hAnsi="Arial" w:cs="Arial"/>
          <w:sz w:val="20"/>
          <w:szCs w:val="20"/>
        </w:rPr>
        <w:t>ingresos y en el coeficiente de gastos se ajustan a las pautas establecidas por el Convenio</w:t>
      </w:r>
      <w:r w:rsidR="00461674">
        <w:rPr>
          <w:rFonts w:ascii="Arial" w:hAnsi="Arial" w:cs="Arial"/>
          <w:sz w:val="20"/>
          <w:szCs w:val="20"/>
        </w:rPr>
        <w:t xml:space="preserve"> </w:t>
      </w:r>
      <w:r w:rsidR="00DD2EC6" w:rsidRPr="00DD2EC6">
        <w:rPr>
          <w:rFonts w:ascii="Arial" w:hAnsi="Arial" w:cs="Arial"/>
          <w:sz w:val="20"/>
          <w:szCs w:val="20"/>
        </w:rPr>
        <w:t>Multilateral.</w:t>
      </w:r>
    </w:p>
    <w:p w14:paraId="0E5B8FDF" w14:textId="77777777" w:rsidR="00461674" w:rsidRDefault="00461674" w:rsidP="00461674">
      <w:pPr>
        <w:spacing w:line="360" w:lineRule="atLeast"/>
        <w:jc w:val="both"/>
      </w:pPr>
      <w:r>
        <w:rPr>
          <w:rFonts w:ascii="Arial" w:hAnsi="Arial" w:cs="Arial"/>
          <w:sz w:val="20"/>
          <w:szCs w:val="20"/>
        </w:rPr>
        <w:t xml:space="preserve">Así, </w:t>
      </w:r>
      <w:r w:rsidRPr="00461674">
        <w:rPr>
          <w:rFonts w:ascii="Arial" w:hAnsi="Arial" w:cs="Arial"/>
          <w:sz w:val="20"/>
          <w:szCs w:val="20"/>
        </w:rPr>
        <w:t>las diferencias de cambio originadas por la mera</w:t>
      </w:r>
      <w:r>
        <w:rPr>
          <w:rFonts w:ascii="Arial" w:hAnsi="Arial" w:cs="Arial"/>
          <w:sz w:val="20"/>
          <w:szCs w:val="20"/>
        </w:rPr>
        <w:t xml:space="preserve"> </w:t>
      </w:r>
      <w:r w:rsidRPr="00461674">
        <w:rPr>
          <w:rFonts w:ascii="Arial" w:hAnsi="Arial" w:cs="Arial"/>
          <w:sz w:val="20"/>
          <w:szCs w:val="20"/>
        </w:rPr>
        <w:t>tenencia de fondos o como pasivo del contribuyente no implican –respectivamente– un</w:t>
      </w:r>
      <w:r>
        <w:rPr>
          <w:rFonts w:ascii="Arial" w:hAnsi="Arial" w:cs="Arial"/>
          <w:sz w:val="20"/>
          <w:szCs w:val="20"/>
        </w:rPr>
        <w:t xml:space="preserve"> </w:t>
      </w:r>
      <w:r w:rsidRPr="00461674">
        <w:rPr>
          <w:rFonts w:ascii="Arial" w:hAnsi="Arial" w:cs="Arial"/>
          <w:sz w:val="20"/>
          <w:szCs w:val="20"/>
        </w:rPr>
        <w:t>ingreso o gasto computable</w:t>
      </w:r>
      <w:r>
        <w:rPr>
          <w:rFonts w:ascii="Arial" w:hAnsi="Arial" w:cs="Arial"/>
          <w:sz w:val="20"/>
          <w:szCs w:val="20"/>
        </w:rPr>
        <w:t>.</w:t>
      </w:r>
      <w:r w:rsidRPr="00461674">
        <w:t xml:space="preserve"> </w:t>
      </w:r>
    </w:p>
    <w:p w14:paraId="79A75966" w14:textId="54343DCE" w:rsidR="00461674" w:rsidRDefault="00461674" w:rsidP="00461674">
      <w:pPr>
        <w:spacing w:line="360" w:lineRule="atLeast"/>
        <w:jc w:val="both"/>
        <w:rPr>
          <w:rFonts w:ascii="Arial" w:hAnsi="Arial" w:cs="Arial"/>
          <w:sz w:val="20"/>
          <w:szCs w:val="20"/>
        </w:rPr>
      </w:pPr>
      <w:r>
        <w:t>L</w:t>
      </w:r>
      <w:r w:rsidRPr="00461674">
        <w:rPr>
          <w:rFonts w:ascii="Arial" w:hAnsi="Arial" w:cs="Arial"/>
          <w:sz w:val="20"/>
          <w:szCs w:val="20"/>
        </w:rPr>
        <w:t>as diferencias de cambio procede</w:t>
      </w:r>
      <w:r>
        <w:rPr>
          <w:rFonts w:ascii="Arial" w:hAnsi="Arial" w:cs="Arial"/>
          <w:sz w:val="20"/>
          <w:szCs w:val="20"/>
        </w:rPr>
        <w:t>n</w:t>
      </w:r>
      <w:r w:rsidRPr="00461674">
        <w:rPr>
          <w:rFonts w:ascii="Arial" w:hAnsi="Arial" w:cs="Arial"/>
          <w:sz w:val="20"/>
          <w:szCs w:val="20"/>
        </w:rPr>
        <w:t xml:space="preserve"> si se</w:t>
      </w:r>
      <w:r>
        <w:rPr>
          <w:rFonts w:ascii="Arial" w:hAnsi="Arial" w:cs="Arial"/>
          <w:sz w:val="20"/>
          <w:szCs w:val="20"/>
        </w:rPr>
        <w:t xml:space="preserve"> </w:t>
      </w:r>
      <w:r w:rsidRPr="00461674">
        <w:rPr>
          <w:rFonts w:ascii="Arial" w:hAnsi="Arial" w:cs="Arial"/>
          <w:sz w:val="20"/>
          <w:szCs w:val="20"/>
        </w:rPr>
        <w:t>demuestra que son resultados positivos o negativos, sin relación con la tenencia de</w:t>
      </w:r>
      <w:r>
        <w:rPr>
          <w:rFonts w:ascii="Arial" w:hAnsi="Arial" w:cs="Arial"/>
          <w:sz w:val="20"/>
          <w:szCs w:val="20"/>
        </w:rPr>
        <w:t xml:space="preserve"> </w:t>
      </w:r>
      <w:r w:rsidRPr="00461674">
        <w:rPr>
          <w:rFonts w:ascii="Arial" w:hAnsi="Arial" w:cs="Arial"/>
          <w:sz w:val="20"/>
          <w:szCs w:val="20"/>
        </w:rPr>
        <w:t>moneda extranjera, ya que solo este caso está excluido</w:t>
      </w:r>
      <w:r>
        <w:rPr>
          <w:rFonts w:ascii="Arial" w:hAnsi="Arial" w:cs="Arial"/>
          <w:sz w:val="20"/>
          <w:szCs w:val="20"/>
        </w:rPr>
        <w:t>.</w:t>
      </w:r>
    </w:p>
    <w:p w14:paraId="1B95A675" w14:textId="4A3D9642" w:rsidR="00461674" w:rsidRDefault="00461674" w:rsidP="00461674">
      <w:pPr>
        <w:spacing w:line="360" w:lineRule="atLeast"/>
        <w:jc w:val="both"/>
        <w:rPr>
          <w:rFonts w:ascii="Arial" w:hAnsi="Arial" w:cs="Arial"/>
          <w:sz w:val="20"/>
          <w:szCs w:val="20"/>
        </w:rPr>
      </w:pPr>
      <w:r>
        <w:rPr>
          <w:rFonts w:ascii="Arial" w:hAnsi="Arial" w:cs="Arial"/>
          <w:sz w:val="20"/>
          <w:szCs w:val="20"/>
        </w:rPr>
        <w:lastRenderedPageBreak/>
        <w:t xml:space="preserve">En el presente caso, </w:t>
      </w:r>
      <w:proofErr w:type="spellStart"/>
      <w:r w:rsidRPr="00461674">
        <w:rPr>
          <w:rFonts w:ascii="Arial" w:hAnsi="Arial" w:cs="Arial"/>
          <w:sz w:val="20"/>
          <w:szCs w:val="20"/>
        </w:rPr>
        <w:t>Gepal</w:t>
      </w:r>
      <w:proofErr w:type="spellEnd"/>
      <w:r w:rsidRPr="00461674">
        <w:rPr>
          <w:rFonts w:ascii="Arial" w:hAnsi="Arial" w:cs="Arial"/>
          <w:sz w:val="20"/>
          <w:szCs w:val="20"/>
        </w:rPr>
        <w:t xml:space="preserve"> SA no ha presentado los documentos que demuestren que los ingresos y</w:t>
      </w:r>
      <w:r w:rsidR="00273CB8">
        <w:rPr>
          <w:rFonts w:ascii="Arial" w:hAnsi="Arial" w:cs="Arial"/>
          <w:sz w:val="20"/>
          <w:szCs w:val="20"/>
        </w:rPr>
        <w:t xml:space="preserve"> </w:t>
      </w:r>
      <w:r w:rsidRPr="00461674">
        <w:rPr>
          <w:rFonts w:ascii="Arial" w:hAnsi="Arial" w:cs="Arial"/>
          <w:sz w:val="20"/>
          <w:szCs w:val="20"/>
        </w:rPr>
        <w:t>gastos por diferencias de cambio positivas y negativas no se han originado en la mera</w:t>
      </w:r>
      <w:r>
        <w:rPr>
          <w:rFonts w:ascii="Arial" w:hAnsi="Arial" w:cs="Arial"/>
          <w:sz w:val="20"/>
          <w:szCs w:val="20"/>
        </w:rPr>
        <w:t xml:space="preserve"> </w:t>
      </w:r>
      <w:r w:rsidRPr="00461674">
        <w:rPr>
          <w:rFonts w:ascii="Arial" w:hAnsi="Arial" w:cs="Arial"/>
          <w:sz w:val="20"/>
          <w:szCs w:val="20"/>
        </w:rPr>
        <w:t>tenencia, sino en otras operaciones</w:t>
      </w:r>
      <w:r>
        <w:rPr>
          <w:rFonts w:ascii="Arial" w:hAnsi="Arial" w:cs="Arial"/>
          <w:sz w:val="20"/>
          <w:szCs w:val="20"/>
        </w:rPr>
        <w:t xml:space="preserve">, por </w:t>
      </w:r>
      <w:r w:rsidR="0023019B">
        <w:rPr>
          <w:rFonts w:ascii="Arial" w:hAnsi="Arial" w:cs="Arial"/>
          <w:sz w:val="20"/>
          <w:szCs w:val="20"/>
        </w:rPr>
        <w:t>tanto,</w:t>
      </w:r>
      <w:r>
        <w:rPr>
          <w:rFonts w:ascii="Arial" w:hAnsi="Arial" w:cs="Arial"/>
          <w:sz w:val="20"/>
          <w:szCs w:val="20"/>
        </w:rPr>
        <w:t xml:space="preserve"> se consideran no computables.</w:t>
      </w:r>
    </w:p>
    <w:p w14:paraId="3DAF9438" w14:textId="77777777" w:rsidR="00CE53A8" w:rsidRPr="00CE53A8" w:rsidRDefault="00CE53A8" w:rsidP="00CE53A8">
      <w:pPr>
        <w:spacing w:line="360" w:lineRule="atLeast"/>
        <w:jc w:val="both"/>
        <w:rPr>
          <w:rFonts w:ascii="Arial" w:hAnsi="Arial" w:cs="Arial"/>
          <w:sz w:val="20"/>
          <w:szCs w:val="20"/>
        </w:rPr>
      </w:pPr>
    </w:p>
    <w:p w14:paraId="2BA55432" w14:textId="4A9B5925" w:rsidR="00CE53A8" w:rsidRPr="00352602" w:rsidRDefault="00CE53A8" w:rsidP="00CE53A8">
      <w:pPr>
        <w:pStyle w:val="ListParagraph"/>
        <w:numPr>
          <w:ilvl w:val="0"/>
          <w:numId w:val="4"/>
        </w:numPr>
        <w:spacing w:line="360" w:lineRule="atLeast"/>
        <w:jc w:val="both"/>
        <w:rPr>
          <w:rFonts w:ascii="Arial" w:hAnsi="Arial" w:cs="Arial"/>
          <w:b/>
          <w:bCs/>
          <w:sz w:val="20"/>
          <w:szCs w:val="20"/>
        </w:rPr>
      </w:pPr>
      <w:r w:rsidRPr="00352602">
        <w:rPr>
          <w:rFonts w:ascii="Arial" w:hAnsi="Arial" w:cs="Arial"/>
          <w:b/>
          <w:bCs/>
          <w:sz w:val="20"/>
          <w:szCs w:val="20"/>
        </w:rPr>
        <w:t xml:space="preserve">Resolución (CP) 7. “Whirlpool Argentina SRL c/ provincia de Buenos Aires - </w:t>
      </w:r>
      <w:proofErr w:type="spellStart"/>
      <w:r w:rsidRPr="00352602">
        <w:rPr>
          <w:rFonts w:ascii="Arial" w:hAnsi="Arial" w:cs="Arial"/>
          <w:b/>
          <w:bCs/>
          <w:sz w:val="20"/>
          <w:szCs w:val="20"/>
        </w:rPr>
        <w:t>Expte</w:t>
      </w:r>
      <w:proofErr w:type="spellEnd"/>
      <w:r w:rsidRPr="00352602">
        <w:rPr>
          <w:rFonts w:ascii="Arial" w:hAnsi="Arial" w:cs="Arial"/>
          <w:b/>
          <w:bCs/>
          <w:sz w:val="20"/>
          <w:szCs w:val="20"/>
        </w:rPr>
        <w:t xml:space="preserve">. CM </w:t>
      </w:r>
      <w:proofErr w:type="spellStart"/>
      <w:r w:rsidRPr="00352602">
        <w:rPr>
          <w:rFonts w:ascii="Arial" w:hAnsi="Arial" w:cs="Arial"/>
          <w:b/>
          <w:bCs/>
          <w:sz w:val="20"/>
          <w:szCs w:val="20"/>
        </w:rPr>
        <w:t>Nº</w:t>
      </w:r>
      <w:proofErr w:type="spellEnd"/>
      <w:r w:rsidRPr="00352602">
        <w:rPr>
          <w:rFonts w:ascii="Arial" w:hAnsi="Arial" w:cs="Arial"/>
          <w:b/>
          <w:bCs/>
          <w:sz w:val="20"/>
          <w:szCs w:val="20"/>
        </w:rPr>
        <w:t xml:space="preserve"> 1680/2021”. 12/06/2025.</w:t>
      </w:r>
    </w:p>
    <w:p w14:paraId="574F1B91" w14:textId="1DBD15F1" w:rsidR="00CE53A8" w:rsidRPr="00CE53A8" w:rsidRDefault="00CE53A8" w:rsidP="00CE53A8">
      <w:pPr>
        <w:spacing w:line="360" w:lineRule="atLeast"/>
        <w:jc w:val="both"/>
        <w:rPr>
          <w:rFonts w:ascii="Arial" w:hAnsi="Arial" w:cs="Arial"/>
          <w:sz w:val="20"/>
          <w:szCs w:val="20"/>
        </w:rPr>
      </w:pPr>
      <w:r>
        <w:rPr>
          <w:rFonts w:ascii="Arial" w:hAnsi="Arial" w:cs="Arial"/>
          <w:sz w:val="20"/>
          <w:szCs w:val="20"/>
        </w:rPr>
        <w:t>L</w:t>
      </w:r>
      <w:r w:rsidRPr="00CE53A8">
        <w:rPr>
          <w:rFonts w:ascii="Arial" w:hAnsi="Arial" w:cs="Arial"/>
          <w:sz w:val="20"/>
          <w:szCs w:val="20"/>
        </w:rPr>
        <w:t>o</w:t>
      </w:r>
      <w:r>
        <w:rPr>
          <w:rFonts w:ascii="Arial" w:hAnsi="Arial" w:cs="Arial"/>
          <w:sz w:val="20"/>
          <w:szCs w:val="20"/>
        </w:rPr>
        <w:t xml:space="preserve"> </w:t>
      </w:r>
      <w:r w:rsidRPr="00CE53A8">
        <w:rPr>
          <w:rFonts w:ascii="Arial" w:hAnsi="Arial" w:cs="Arial"/>
          <w:sz w:val="20"/>
          <w:szCs w:val="20"/>
        </w:rPr>
        <w:t>resuelto por la Comisión Arbitral responde a los criterios de atribución de ingresos</w:t>
      </w:r>
      <w:r>
        <w:rPr>
          <w:rFonts w:ascii="Arial" w:hAnsi="Arial" w:cs="Arial"/>
          <w:sz w:val="20"/>
          <w:szCs w:val="20"/>
        </w:rPr>
        <w:t xml:space="preserve"> </w:t>
      </w:r>
      <w:r w:rsidRPr="00CE53A8">
        <w:rPr>
          <w:rFonts w:ascii="Arial" w:hAnsi="Arial" w:cs="Arial"/>
          <w:sz w:val="20"/>
          <w:szCs w:val="20"/>
        </w:rPr>
        <w:t>imperantes en los organismos de aplicación del Convenio Multilateral, reflejado en</w:t>
      </w:r>
      <w:r>
        <w:rPr>
          <w:rFonts w:ascii="Arial" w:hAnsi="Arial" w:cs="Arial"/>
          <w:sz w:val="20"/>
          <w:szCs w:val="20"/>
        </w:rPr>
        <w:t xml:space="preserve"> </w:t>
      </w:r>
      <w:r w:rsidRPr="00CE53A8">
        <w:rPr>
          <w:rFonts w:ascii="Arial" w:hAnsi="Arial" w:cs="Arial"/>
          <w:sz w:val="20"/>
          <w:szCs w:val="20"/>
        </w:rPr>
        <w:t>numerosos casos concretos resueltos por los mismos.</w:t>
      </w:r>
    </w:p>
    <w:p w14:paraId="67733A95" w14:textId="41EBE9B8" w:rsidR="00CE53A8" w:rsidRPr="00CE53A8" w:rsidRDefault="00CE53A8" w:rsidP="00CE53A8">
      <w:pPr>
        <w:spacing w:line="360" w:lineRule="atLeast"/>
        <w:jc w:val="both"/>
        <w:rPr>
          <w:rFonts w:ascii="Arial" w:hAnsi="Arial" w:cs="Arial"/>
          <w:sz w:val="20"/>
          <w:szCs w:val="20"/>
        </w:rPr>
      </w:pPr>
      <w:r w:rsidRPr="00CE53A8">
        <w:rPr>
          <w:rFonts w:ascii="Arial" w:hAnsi="Arial" w:cs="Arial"/>
          <w:sz w:val="20"/>
          <w:szCs w:val="20"/>
        </w:rPr>
        <w:t>Para el caso de ingresos derivados de las operaciones que han sido efectuadas de</w:t>
      </w:r>
      <w:r>
        <w:rPr>
          <w:rFonts w:ascii="Arial" w:hAnsi="Arial" w:cs="Arial"/>
          <w:sz w:val="20"/>
          <w:szCs w:val="20"/>
        </w:rPr>
        <w:t xml:space="preserve"> </w:t>
      </w:r>
      <w:r w:rsidRPr="00CE53A8">
        <w:rPr>
          <w:rFonts w:ascii="Arial" w:hAnsi="Arial" w:cs="Arial"/>
          <w:sz w:val="20"/>
          <w:szCs w:val="20"/>
        </w:rPr>
        <w:t>manera presencial, el criterio es que deben ser atribuidos conforme las previsiones del</w:t>
      </w:r>
      <w:r>
        <w:rPr>
          <w:rFonts w:ascii="Arial" w:hAnsi="Arial" w:cs="Arial"/>
          <w:sz w:val="20"/>
          <w:szCs w:val="20"/>
        </w:rPr>
        <w:t xml:space="preserve"> </w:t>
      </w:r>
      <w:r w:rsidRPr="00CE53A8">
        <w:rPr>
          <w:rFonts w:ascii="Arial" w:hAnsi="Arial" w:cs="Arial"/>
          <w:sz w:val="20"/>
          <w:szCs w:val="20"/>
        </w:rPr>
        <w:t>artículo 2º, primera parte del inciso a), del Convenio Multilateral</w:t>
      </w:r>
      <w:r>
        <w:rPr>
          <w:rFonts w:ascii="Arial" w:hAnsi="Arial" w:cs="Arial"/>
          <w:sz w:val="20"/>
          <w:szCs w:val="20"/>
        </w:rPr>
        <w:t>,</w:t>
      </w:r>
      <w:r w:rsidRPr="00CE53A8">
        <w:t xml:space="preserve"> </w:t>
      </w:r>
      <w:r w:rsidRPr="00CE53A8">
        <w:rPr>
          <w:rFonts w:ascii="Arial" w:hAnsi="Arial" w:cs="Arial"/>
          <w:sz w:val="20"/>
          <w:szCs w:val="20"/>
        </w:rPr>
        <w:t>cuando especifica que:</w:t>
      </w:r>
      <w:r>
        <w:rPr>
          <w:rFonts w:ascii="Arial" w:hAnsi="Arial" w:cs="Arial"/>
          <w:sz w:val="20"/>
          <w:szCs w:val="20"/>
        </w:rPr>
        <w:t xml:space="preserve"> </w:t>
      </w:r>
      <w:r w:rsidRPr="00CE53A8">
        <w:rPr>
          <w:rFonts w:ascii="Arial" w:hAnsi="Arial" w:cs="Arial"/>
          <w:sz w:val="20"/>
          <w:szCs w:val="20"/>
        </w:rPr>
        <w:t>“…</w:t>
      </w:r>
      <w:r w:rsidRPr="00CE53A8">
        <w:rPr>
          <w:rFonts w:ascii="Arial" w:hAnsi="Arial" w:cs="Arial"/>
          <w:i/>
          <w:iCs/>
          <w:sz w:val="20"/>
          <w:szCs w:val="20"/>
        </w:rPr>
        <w:t>en proporción a los ingresos brutos provenientes de cada jurisdicción, en los casos de operaciones realizadas por intermedio de sucursales, agencia u otros establecimientos permanentes similares, corredores, comisionistas, mandatarios, viajantes o consignatarios, etcétera, con o sin relación de dependencia</w:t>
      </w:r>
      <w:r w:rsidRPr="00CE53A8">
        <w:rPr>
          <w:rFonts w:ascii="Arial" w:hAnsi="Arial" w:cs="Arial"/>
          <w:sz w:val="20"/>
          <w:szCs w:val="20"/>
        </w:rPr>
        <w:t>.”, de lo cual se puede inferir que lo que hay que</w:t>
      </w:r>
      <w:r>
        <w:rPr>
          <w:rFonts w:ascii="Arial" w:hAnsi="Arial" w:cs="Arial"/>
          <w:sz w:val="20"/>
          <w:szCs w:val="20"/>
        </w:rPr>
        <w:t xml:space="preserve"> </w:t>
      </w:r>
      <w:r w:rsidRPr="00CE53A8">
        <w:rPr>
          <w:rFonts w:ascii="Arial" w:hAnsi="Arial" w:cs="Arial"/>
          <w:sz w:val="20"/>
          <w:szCs w:val="20"/>
        </w:rPr>
        <w:t>definir es “de donde provienen los ingresos”, que no es otro que el del destino final de los</w:t>
      </w:r>
      <w:r>
        <w:rPr>
          <w:rFonts w:ascii="Arial" w:hAnsi="Arial" w:cs="Arial"/>
          <w:sz w:val="20"/>
          <w:szCs w:val="20"/>
        </w:rPr>
        <w:t xml:space="preserve"> </w:t>
      </w:r>
      <w:r w:rsidRPr="00CE53A8">
        <w:rPr>
          <w:rFonts w:ascii="Arial" w:hAnsi="Arial" w:cs="Arial"/>
          <w:sz w:val="20"/>
          <w:szCs w:val="20"/>
        </w:rPr>
        <w:t>bienes, tal como se ha interpretado en los casos traídos a consideración de los mencionados</w:t>
      </w:r>
      <w:r>
        <w:rPr>
          <w:rFonts w:ascii="Arial" w:hAnsi="Arial" w:cs="Arial"/>
          <w:sz w:val="20"/>
          <w:szCs w:val="20"/>
        </w:rPr>
        <w:t xml:space="preserve"> </w:t>
      </w:r>
      <w:r w:rsidRPr="00CE53A8">
        <w:rPr>
          <w:rFonts w:ascii="Arial" w:hAnsi="Arial" w:cs="Arial"/>
          <w:sz w:val="20"/>
          <w:szCs w:val="20"/>
        </w:rPr>
        <w:t>organismos.</w:t>
      </w:r>
    </w:p>
    <w:p w14:paraId="21CCC056" w14:textId="26577964" w:rsidR="004E62FB" w:rsidRDefault="00CE53A8" w:rsidP="00CE53A8">
      <w:pPr>
        <w:spacing w:line="360" w:lineRule="atLeast"/>
        <w:jc w:val="both"/>
        <w:rPr>
          <w:rFonts w:ascii="Arial" w:hAnsi="Arial" w:cs="Arial"/>
          <w:sz w:val="20"/>
          <w:szCs w:val="20"/>
        </w:rPr>
      </w:pPr>
      <w:r w:rsidRPr="00CE53A8">
        <w:rPr>
          <w:rFonts w:ascii="Arial" w:hAnsi="Arial" w:cs="Arial"/>
          <w:sz w:val="20"/>
          <w:szCs w:val="20"/>
        </w:rPr>
        <w:t>En el caso de que se verifique que el contribuyente hubiere realizado operaciones</w:t>
      </w:r>
      <w:r>
        <w:rPr>
          <w:rFonts w:ascii="Arial" w:hAnsi="Arial" w:cs="Arial"/>
          <w:sz w:val="20"/>
          <w:szCs w:val="20"/>
        </w:rPr>
        <w:t xml:space="preserve"> </w:t>
      </w:r>
      <w:r w:rsidRPr="00CE53A8">
        <w:rPr>
          <w:rFonts w:ascii="Arial" w:hAnsi="Arial" w:cs="Arial"/>
          <w:sz w:val="20"/>
          <w:szCs w:val="20"/>
        </w:rPr>
        <w:t>comprendidas en el último párrafo del artículo 1º del Convenio Multilateral, y por lo mismo,</w:t>
      </w:r>
      <w:r>
        <w:rPr>
          <w:rFonts w:ascii="Arial" w:hAnsi="Arial" w:cs="Arial"/>
          <w:sz w:val="20"/>
          <w:szCs w:val="20"/>
        </w:rPr>
        <w:t xml:space="preserve"> </w:t>
      </w:r>
      <w:r w:rsidRPr="00CE53A8">
        <w:rPr>
          <w:rFonts w:ascii="Arial" w:hAnsi="Arial" w:cs="Arial"/>
          <w:sz w:val="20"/>
          <w:szCs w:val="20"/>
        </w:rPr>
        <w:t>resultare de aplicación lo dispuesto por la Resolución General N° 14/2017, cabe hacer notar,</w:t>
      </w:r>
      <w:r>
        <w:rPr>
          <w:rFonts w:ascii="Arial" w:hAnsi="Arial" w:cs="Arial"/>
          <w:sz w:val="20"/>
          <w:szCs w:val="20"/>
        </w:rPr>
        <w:t xml:space="preserve"> </w:t>
      </w:r>
      <w:r w:rsidRPr="00CE53A8">
        <w:rPr>
          <w:rFonts w:ascii="Arial" w:hAnsi="Arial" w:cs="Arial"/>
          <w:sz w:val="20"/>
          <w:szCs w:val="20"/>
        </w:rPr>
        <w:t xml:space="preserve">que esta Comisión Plenaria dispuso, mediante Resolución </w:t>
      </w:r>
      <w:proofErr w:type="spellStart"/>
      <w:r w:rsidRPr="00CE53A8">
        <w:rPr>
          <w:rFonts w:ascii="Arial" w:hAnsi="Arial" w:cs="Arial"/>
          <w:sz w:val="20"/>
          <w:szCs w:val="20"/>
        </w:rPr>
        <w:t>Nº</w:t>
      </w:r>
      <w:proofErr w:type="spellEnd"/>
      <w:r w:rsidRPr="00CE53A8">
        <w:rPr>
          <w:rFonts w:ascii="Arial" w:hAnsi="Arial" w:cs="Arial"/>
          <w:sz w:val="20"/>
          <w:szCs w:val="20"/>
        </w:rPr>
        <w:t xml:space="preserve"> 15/2023, recaída en el</w:t>
      </w:r>
      <w:r>
        <w:rPr>
          <w:rFonts w:ascii="Arial" w:hAnsi="Arial" w:cs="Arial"/>
          <w:sz w:val="20"/>
          <w:szCs w:val="20"/>
        </w:rPr>
        <w:t xml:space="preserve"> </w:t>
      </w:r>
      <w:r w:rsidRPr="00CE53A8">
        <w:rPr>
          <w:rFonts w:ascii="Arial" w:hAnsi="Arial" w:cs="Arial"/>
          <w:sz w:val="20"/>
          <w:szCs w:val="20"/>
        </w:rPr>
        <w:t xml:space="preserve">Expediente </w:t>
      </w:r>
      <w:proofErr w:type="spellStart"/>
      <w:r w:rsidRPr="00CE53A8">
        <w:rPr>
          <w:rFonts w:ascii="Arial" w:hAnsi="Arial" w:cs="Arial"/>
          <w:sz w:val="20"/>
          <w:szCs w:val="20"/>
        </w:rPr>
        <w:t>Nº</w:t>
      </w:r>
      <w:proofErr w:type="spellEnd"/>
      <w:r w:rsidRPr="00CE53A8">
        <w:rPr>
          <w:rFonts w:ascii="Arial" w:hAnsi="Arial" w:cs="Arial"/>
          <w:sz w:val="20"/>
          <w:szCs w:val="20"/>
        </w:rPr>
        <w:t xml:space="preserve"> 1648/2020 “Whirlpool Argentina SRL c/ provincia de Buenos Aires”, que la</w:t>
      </w:r>
      <w:r>
        <w:rPr>
          <w:rFonts w:ascii="Arial" w:hAnsi="Arial" w:cs="Arial"/>
          <w:sz w:val="20"/>
          <w:szCs w:val="20"/>
        </w:rPr>
        <w:t xml:space="preserve"> </w:t>
      </w:r>
      <w:r w:rsidRPr="00CE53A8">
        <w:rPr>
          <w:rFonts w:ascii="Arial" w:hAnsi="Arial" w:cs="Arial"/>
          <w:sz w:val="20"/>
          <w:szCs w:val="20"/>
        </w:rPr>
        <w:t>atribución de ingresos para esta modalidad de comercialización debe ser el apartado 2 del</w:t>
      </w:r>
      <w:r>
        <w:rPr>
          <w:rFonts w:ascii="Arial" w:hAnsi="Arial" w:cs="Arial"/>
          <w:sz w:val="20"/>
          <w:szCs w:val="20"/>
        </w:rPr>
        <w:t xml:space="preserve"> </w:t>
      </w:r>
      <w:r w:rsidRPr="00CE53A8">
        <w:rPr>
          <w:rFonts w:ascii="Arial" w:hAnsi="Arial" w:cs="Arial"/>
          <w:sz w:val="20"/>
          <w:szCs w:val="20"/>
        </w:rPr>
        <w:t>inciso a) del artículo 1° de la misma; esto es, “</w:t>
      </w:r>
      <w:r w:rsidRPr="00CE53A8">
        <w:rPr>
          <w:rFonts w:ascii="Arial" w:hAnsi="Arial" w:cs="Arial"/>
          <w:i/>
          <w:iCs/>
          <w:sz w:val="20"/>
          <w:szCs w:val="20"/>
        </w:rPr>
        <w:t>Domicilio donde desarrolla su actividad</w:t>
      </w:r>
      <w:r>
        <w:rPr>
          <w:rFonts w:ascii="Arial" w:hAnsi="Arial" w:cs="Arial"/>
          <w:i/>
          <w:iCs/>
          <w:sz w:val="20"/>
          <w:szCs w:val="20"/>
        </w:rPr>
        <w:t xml:space="preserve"> </w:t>
      </w:r>
      <w:r w:rsidRPr="00CE53A8">
        <w:rPr>
          <w:rFonts w:ascii="Arial" w:hAnsi="Arial" w:cs="Arial"/>
          <w:i/>
          <w:iCs/>
          <w:sz w:val="20"/>
          <w:szCs w:val="20"/>
        </w:rPr>
        <w:t>principal el adquirente</w:t>
      </w:r>
      <w:r w:rsidRPr="00CE53A8">
        <w:rPr>
          <w:rFonts w:ascii="Arial" w:hAnsi="Arial" w:cs="Arial"/>
          <w:sz w:val="20"/>
          <w:szCs w:val="20"/>
        </w:rPr>
        <w:t>”, por lo que tratándose de similar situación, lo allí resuelto se</w:t>
      </w:r>
      <w:r>
        <w:rPr>
          <w:rFonts w:ascii="Arial" w:hAnsi="Arial" w:cs="Arial"/>
          <w:sz w:val="20"/>
          <w:szCs w:val="20"/>
        </w:rPr>
        <w:t xml:space="preserve"> </w:t>
      </w:r>
      <w:r w:rsidRPr="00CE53A8">
        <w:rPr>
          <w:rFonts w:ascii="Arial" w:hAnsi="Arial" w:cs="Arial"/>
          <w:sz w:val="20"/>
          <w:szCs w:val="20"/>
        </w:rPr>
        <w:t>extiende a la aplicación en las presentes actuaciones.</w:t>
      </w:r>
    </w:p>
    <w:p w14:paraId="2B14181B" w14:textId="1FD4BDD3" w:rsidR="00CE53A8" w:rsidRPr="00CE53A8" w:rsidRDefault="00CE53A8" w:rsidP="00CE53A8">
      <w:pPr>
        <w:spacing w:line="360" w:lineRule="atLeast"/>
        <w:jc w:val="both"/>
        <w:rPr>
          <w:rFonts w:ascii="Arial" w:hAnsi="Arial" w:cs="Arial"/>
          <w:sz w:val="20"/>
          <w:szCs w:val="20"/>
        </w:rPr>
      </w:pPr>
      <w:r>
        <w:rPr>
          <w:rFonts w:ascii="Arial" w:hAnsi="Arial" w:cs="Arial"/>
          <w:sz w:val="20"/>
          <w:szCs w:val="20"/>
        </w:rPr>
        <w:t>La empresa no aporto pruebas y l</w:t>
      </w:r>
      <w:r w:rsidRPr="00CE53A8">
        <w:rPr>
          <w:rFonts w:ascii="Arial" w:hAnsi="Arial" w:cs="Arial"/>
          <w:sz w:val="20"/>
          <w:szCs w:val="20"/>
        </w:rPr>
        <w:t>a jurisdicción, a los fines del ajuste, ha señalado que ha respetado el criterio</w:t>
      </w:r>
      <w:r>
        <w:rPr>
          <w:rFonts w:ascii="Arial" w:hAnsi="Arial" w:cs="Arial"/>
          <w:sz w:val="20"/>
          <w:szCs w:val="20"/>
        </w:rPr>
        <w:t xml:space="preserve"> </w:t>
      </w:r>
      <w:r w:rsidRPr="00CE53A8">
        <w:rPr>
          <w:rFonts w:ascii="Arial" w:hAnsi="Arial" w:cs="Arial"/>
          <w:sz w:val="20"/>
          <w:szCs w:val="20"/>
        </w:rPr>
        <w:t>de que la atribución de ingresos debe responder al lugar de “destino final” de las mercaderías</w:t>
      </w:r>
      <w:r>
        <w:rPr>
          <w:rFonts w:ascii="Arial" w:hAnsi="Arial" w:cs="Arial"/>
          <w:sz w:val="20"/>
          <w:szCs w:val="20"/>
        </w:rPr>
        <w:t xml:space="preserve"> </w:t>
      </w:r>
      <w:r w:rsidRPr="00CE53A8">
        <w:rPr>
          <w:rFonts w:ascii="Arial" w:hAnsi="Arial" w:cs="Arial"/>
          <w:sz w:val="20"/>
          <w:szCs w:val="20"/>
        </w:rPr>
        <w:t>comercializadas, habiendo entendido que las destinadas a los “centros de distribución” de</w:t>
      </w:r>
      <w:r>
        <w:rPr>
          <w:rFonts w:ascii="Arial" w:hAnsi="Arial" w:cs="Arial"/>
          <w:sz w:val="20"/>
          <w:szCs w:val="20"/>
        </w:rPr>
        <w:t xml:space="preserve"> </w:t>
      </w:r>
      <w:r w:rsidRPr="00CE53A8">
        <w:rPr>
          <w:rFonts w:ascii="Arial" w:hAnsi="Arial" w:cs="Arial"/>
          <w:sz w:val="20"/>
          <w:szCs w:val="20"/>
        </w:rPr>
        <w:t>sus clientes también están incluidas en ese concepto, ante la imposibilidad de conocer con</w:t>
      </w:r>
      <w:r>
        <w:rPr>
          <w:rFonts w:ascii="Arial" w:hAnsi="Arial" w:cs="Arial"/>
          <w:sz w:val="20"/>
          <w:szCs w:val="20"/>
        </w:rPr>
        <w:t xml:space="preserve"> </w:t>
      </w:r>
      <w:r w:rsidRPr="00CE53A8">
        <w:rPr>
          <w:rFonts w:ascii="Arial" w:hAnsi="Arial" w:cs="Arial"/>
          <w:sz w:val="20"/>
          <w:szCs w:val="20"/>
        </w:rPr>
        <w:t>certeza cuál ha de ser su destino final, aplicando para ello la Resolución General N° 14/2017.</w:t>
      </w:r>
    </w:p>
    <w:p w14:paraId="0B5049CC" w14:textId="04732EBD" w:rsidR="00CE53A8" w:rsidRDefault="00CE53A8" w:rsidP="00CE53A8">
      <w:pPr>
        <w:spacing w:line="360" w:lineRule="atLeast"/>
        <w:jc w:val="both"/>
        <w:rPr>
          <w:rFonts w:ascii="Arial" w:hAnsi="Arial" w:cs="Arial"/>
          <w:sz w:val="20"/>
          <w:szCs w:val="20"/>
        </w:rPr>
      </w:pPr>
      <w:r w:rsidRPr="00CE53A8">
        <w:rPr>
          <w:rFonts w:ascii="Arial" w:hAnsi="Arial" w:cs="Arial"/>
          <w:sz w:val="20"/>
          <w:szCs w:val="20"/>
        </w:rPr>
        <w:t xml:space="preserve">Dicha postura no fue avalada por la Comisión Arbitral y es por eso </w:t>
      </w:r>
      <w:proofErr w:type="gramStart"/>
      <w:r w:rsidRPr="00CE53A8">
        <w:rPr>
          <w:rFonts w:ascii="Arial" w:hAnsi="Arial" w:cs="Arial"/>
          <w:sz w:val="20"/>
          <w:szCs w:val="20"/>
        </w:rPr>
        <w:t>que</w:t>
      </w:r>
      <w:proofErr w:type="gramEnd"/>
      <w:r w:rsidRPr="00CE53A8">
        <w:rPr>
          <w:rFonts w:ascii="Arial" w:hAnsi="Arial" w:cs="Arial"/>
          <w:sz w:val="20"/>
          <w:szCs w:val="20"/>
        </w:rPr>
        <w:t xml:space="preserve"> se ha dispuesto</w:t>
      </w:r>
      <w:r>
        <w:rPr>
          <w:rFonts w:ascii="Arial" w:hAnsi="Arial" w:cs="Arial"/>
          <w:sz w:val="20"/>
          <w:szCs w:val="20"/>
        </w:rPr>
        <w:t xml:space="preserve"> </w:t>
      </w:r>
      <w:r w:rsidRPr="00CE53A8">
        <w:rPr>
          <w:rFonts w:ascii="Arial" w:hAnsi="Arial" w:cs="Arial"/>
          <w:sz w:val="20"/>
          <w:szCs w:val="20"/>
        </w:rPr>
        <w:t>“Ordenar a la Provincia de Buenos Aires que efectué una reliquidación del ajuste</w:t>
      </w:r>
      <w:r>
        <w:rPr>
          <w:rFonts w:ascii="Arial" w:hAnsi="Arial" w:cs="Arial"/>
          <w:sz w:val="20"/>
          <w:szCs w:val="20"/>
        </w:rPr>
        <w:t xml:space="preserve"> </w:t>
      </w:r>
      <w:r w:rsidRPr="00CE53A8">
        <w:rPr>
          <w:rFonts w:ascii="Arial" w:hAnsi="Arial" w:cs="Arial"/>
          <w:sz w:val="20"/>
          <w:szCs w:val="20"/>
        </w:rPr>
        <w:t>practicado…” tal como consta en el artículo 2º de la Resolución CA 23/2024, ahora apelada</w:t>
      </w:r>
      <w:r>
        <w:rPr>
          <w:rFonts w:ascii="Arial" w:hAnsi="Arial" w:cs="Arial"/>
          <w:sz w:val="20"/>
          <w:szCs w:val="20"/>
        </w:rPr>
        <w:t xml:space="preserve"> </w:t>
      </w:r>
      <w:r w:rsidRPr="00CE53A8">
        <w:rPr>
          <w:rFonts w:ascii="Arial" w:hAnsi="Arial" w:cs="Arial"/>
          <w:sz w:val="20"/>
          <w:szCs w:val="20"/>
        </w:rPr>
        <w:t>por el contribuyente, mientras que el fisco solicita que se ratifique la misma.</w:t>
      </w:r>
    </w:p>
    <w:p w14:paraId="37C5280F" w14:textId="77777777" w:rsidR="00CE53A8" w:rsidRDefault="00CE53A8" w:rsidP="00CE53A8">
      <w:pPr>
        <w:spacing w:line="360" w:lineRule="atLeast"/>
        <w:jc w:val="both"/>
        <w:rPr>
          <w:rFonts w:ascii="Arial" w:hAnsi="Arial" w:cs="Arial"/>
          <w:sz w:val="20"/>
          <w:szCs w:val="20"/>
        </w:rPr>
      </w:pPr>
      <w:r>
        <w:rPr>
          <w:rFonts w:ascii="Arial" w:hAnsi="Arial" w:cs="Arial"/>
          <w:sz w:val="20"/>
          <w:szCs w:val="20"/>
        </w:rPr>
        <w:lastRenderedPageBreak/>
        <w:t>E</w:t>
      </w:r>
      <w:r w:rsidRPr="00CE53A8">
        <w:rPr>
          <w:rFonts w:ascii="Arial" w:hAnsi="Arial" w:cs="Arial"/>
          <w:sz w:val="20"/>
          <w:szCs w:val="20"/>
        </w:rPr>
        <w:t>l accionar de ambas partes no se ajustó a los</w:t>
      </w:r>
      <w:r>
        <w:rPr>
          <w:rFonts w:ascii="Arial" w:hAnsi="Arial" w:cs="Arial"/>
          <w:sz w:val="20"/>
          <w:szCs w:val="20"/>
        </w:rPr>
        <w:t xml:space="preserve"> </w:t>
      </w:r>
      <w:r w:rsidRPr="00CE53A8">
        <w:rPr>
          <w:rFonts w:ascii="Arial" w:hAnsi="Arial" w:cs="Arial"/>
          <w:sz w:val="20"/>
          <w:szCs w:val="20"/>
        </w:rPr>
        <w:t>criterios imperantes sobre el particular, motivo por el cual la Comisión Arbitral no hizo lugar</w:t>
      </w:r>
      <w:r>
        <w:rPr>
          <w:rFonts w:ascii="Arial" w:hAnsi="Arial" w:cs="Arial"/>
          <w:sz w:val="20"/>
          <w:szCs w:val="20"/>
        </w:rPr>
        <w:t xml:space="preserve"> </w:t>
      </w:r>
      <w:r w:rsidRPr="00CE53A8">
        <w:rPr>
          <w:rFonts w:ascii="Arial" w:hAnsi="Arial" w:cs="Arial"/>
          <w:sz w:val="20"/>
          <w:szCs w:val="20"/>
        </w:rPr>
        <w:t>a la acción del contribuyente y dispuso efectuar una reliquidación del ajuste a la provincia</w:t>
      </w:r>
      <w:r>
        <w:rPr>
          <w:rFonts w:ascii="Arial" w:hAnsi="Arial" w:cs="Arial"/>
          <w:sz w:val="20"/>
          <w:szCs w:val="20"/>
        </w:rPr>
        <w:t xml:space="preserve"> </w:t>
      </w:r>
      <w:r w:rsidRPr="00CE53A8">
        <w:rPr>
          <w:rFonts w:ascii="Arial" w:hAnsi="Arial" w:cs="Arial"/>
          <w:sz w:val="20"/>
          <w:szCs w:val="20"/>
        </w:rPr>
        <w:t>de Buenos Aires.</w:t>
      </w:r>
    </w:p>
    <w:p w14:paraId="52EBDEBA" w14:textId="77777777" w:rsidR="00352602" w:rsidRPr="00FB2E15" w:rsidRDefault="00352602" w:rsidP="00352602">
      <w:pPr>
        <w:spacing w:line="360" w:lineRule="atLeast"/>
        <w:jc w:val="both"/>
        <w:rPr>
          <w:rFonts w:ascii="Arial" w:hAnsi="Arial" w:cs="Arial"/>
          <w:b/>
          <w:bCs/>
          <w:sz w:val="20"/>
          <w:szCs w:val="20"/>
        </w:rPr>
      </w:pPr>
    </w:p>
    <w:p w14:paraId="68C1796B" w14:textId="77777777" w:rsidR="008D0FF0" w:rsidRPr="00FB2E15" w:rsidRDefault="00352602" w:rsidP="00352602">
      <w:pPr>
        <w:pStyle w:val="ListParagraph"/>
        <w:numPr>
          <w:ilvl w:val="0"/>
          <w:numId w:val="4"/>
        </w:numPr>
        <w:spacing w:line="360" w:lineRule="atLeast"/>
        <w:jc w:val="both"/>
        <w:rPr>
          <w:rFonts w:ascii="Arial" w:hAnsi="Arial" w:cs="Arial"/>
          <w:b/>
          <w:bCs/>
          <w:sz w:val="20"/>
          <w:szCs w:val="20"/>
        </w:rPr>
      </w:pPr>
      <w:r w:rsidRPr="00FB2E15">
        <w:rPr>
          <w:rFonts w:ascii="Arial" w:hAnsi="Arial" w:cs="Arial"/>
          <w:b/>
          <w:bCs/>
          <w:sz w:val="20"/>
          <w:szCs w:val="20"/>
        </w:rPr>
        <w:t>Resolución (CP) 9. “</w:t>
      </w:r>
      <w:proofErr w:type="spellStart"/>
      <w:r w:rsidRPr="00FB2E15">
        <w:rPr>
          <w:rFonts w:ascii="Arial" w:hAnsi="Arial" w:cs="Arial"/>
          <w:b/>
          <w:bCs/>
          <w:sz w:val="20"/>
          <w:szCs w:val="20"/>
        </w:rPr>
        <w:t>Marolio</w:t>
      </w:r>
      <w:proofErr w:type="spellEnd"/>
      <w:r w:rsidRPr="00FB2E15">
        <w:rPr>
          <w:rFonts w:ascii="Arial" w:hAnsi="Arial" w:cs="Arial"/>
          <w:b/>
          <w:bCs/>
          <w:sz w:val="20"/>
          <w:szCs w:val="20"/>
        </w:rPr>
        <w:t xml:space="preserve"> SA c/ Ciudad Autónoma de Buenos Aires - </w:t>
      </w:r>
      <w:proofErr w:type="spellStart"/>
      <w:r w:rsidRPr="00FB2E15">
        <w:rPr>
          <w:rFonts w:ascii="Arial" w:hAnsi="Arial" w:cs="Arial"/>
          <w:b/>
          <w:bCs/>
          <w:sz w:val="20"/>
          <w:szCs w:val="20"/>
        </w:rPr>
        <w:t>Expte</w:t>
      </w:r>
      <w:proofErr w:type="spellEnd"/>
      <w:r w:rsidRPr="00FB2E15">
        <w:rPr>
          <w:rFonts w:ascii="Arial" w:hAnsi="Arial" w:cs="Arial"/>
          <w:b/>
          <w:bCs/>
          <w:sz w:val="20"/>
          <w:szCs w:val="20"/>
        </w:rPr>
        <w:t xml:space="preserve">. CM </w:t>
      </w:r>
      <w:proofErr w:type="spellStart"/>
      <w:r w:rsidRPr="00FB2E15">
        <w:rPr>
          <w:rFonts w:ascii="Arial" w:hAnsi="Arial" w:cs="Arial"/>
          <w:b/>
          <w:bCs/>
          <w:sz w:val="20"/>
          <w:szCs w:val="20"/>
        </w:rPr>
        <w:t>Nº</w:t>
      </w:r>
      <w:proofErr w:type="spellEnd"/>
      <w:r w:rsidRPr="00FB2E15">
        <w:rPr>
          <w:rFonts w:ascii="Arial" w:hAnsi="Arial" w:cs="Arial"/>
          <w:b/>
          <w:bCs/>
          <w:sz w:val="20"/>
          <w:szCs w:val="20"/>
        </w:rPr>
        <w:t xml:space="preserve"> 1715/2022”. 12/06/2025.</w:t>
      </w:r>
    </w:p>
    <w:p w14:paraId="3ABADE46" w14:textId="0A8FA5D2" w:rsidR="00CE53A8" w:rsidRPr="00FB2E15" w:rsidRDefault="00352602" w:rsidP="00352602">
      <w:pPr>
        <w:spacing w:line="360" w:lineRule="atLeast"/>
        <w:jc w:val="both"/>
        <w:rPr>
          <w:rFonts w:ascii="Arial" w:hAnsi="Arial" w:cs="Arial"/>
          <w:sz w:val="20"/>
          <w:szCs w:val="20"/>
        </w:rPr>
      </w:pPr>
      <w:proofErr w:type="spellStart"/>
      <w:r w:rsidRPr="00FB2E15">
        <w:rPr>
          <w:rFonts w:ascii="Arial" w:hAnsi="Arial" w:cs="Arial"/>
          <w:sz w:val="20"/>
          <w:szCs w:val="20"/>
        </w:rPr>
        <w:t>Marolio</w:t>
      </w:r>
      <w:proofErr w:type="spellEnd"/>
      <w:r w:rsidRPr="00FB2E15">
        <w:rPr>
          <w:rFonts w:ascii="Arial" w:hAnsi="Arial" w:cs="Arial"/>
          <w:sz w:val="20"/>
          <w:szCs w:val="20"/>
        </w:rPr>
        <w:t xml:space="preserve"> SA ante la Comisión Arbitral puso en discusión el procedimiento de asignación de ingresos realizado por el fisco respecto de las ventas efectuadas a sus clientes </w:t>
      </w:r>
      <w:proofErr w:type="spellStart"/>
      <w:r w:rsidRPr="00FB2E15">
        <w:rPr>
          <w:rFonts w:ascii="Arial" w:hAnsi="Arial" w:cs="Arial"/>
          <w:sz w:val="20"/>
          <w:szCs w:val="20"/>
        </w:rPr>
        <w:t>Maxiconsumo</w:t>
      </w:r>
      <w:proofErr w:type="spellEnd"/>
      <w:r w:rsidRPr="00FB2E15">
        <w:rPr>
          <w:rFonts w:ascii="Arial" w:hAnsi="Arial" w:cs="Arial"/>
          <w:sz w:val="20"/>
          <w:szCs w:val="20"/>
        </w:rPr>
        <w:t xml:space="preserve"> SA, Wal-Mart SRL y Jumbo </w:t>
      </w:r>
      <w:proofErr w:type="spellStart"/>
      <w:r w:rsidRPr="00FB2E15">
        <w:rPr>
          <w:rFonts w:ascii="Arial" w:hAnsi="Arial" w:cs="Arial"/>
          <w:sz w:val="20"/>
          <w:szCs w:val="20"/>
        </w:rPr>
        <w:t>Retail</w:t>
      </w:r>
      <w:proofErr w:type="spellEnd"/>
      <w:r w:rsidRPr="00FB2E15">
        <w:rPr>
          <w:rFonts w:ascii="Arial" w:hAnsi="Arial" w:cs="Arial"/>
          <w:sz w:val="20"/>
          <w:szCs w:val="20"/>
        </w:rPr>
        <w:t xml:space="preserve"> Argentina SA</w:t>
      </w:r>
    </w:p>
    <w:p w14:paraId="7AFABF54" w14:textId="60B694B7" w:rsidR="00352602" w:rsidRDefault="00352602" w:rsidP="00352602">
      <w:pPr>
        <w:spacing w:line="360" w:lineRule="atLeast"/>
        <w:jc w:val="both"/>
        <w:rPr>
          <w:rFonts w:ascii="Arial" w:hAnsi="Arial" w:cs="Arial"/>
          <w:sz w:val="20"/>
          <w:szCs w:val="20"/>
        </w:rPr>
      </w:pPr>
      <w:r w:rsidRPr="00352602">
        <w:rPr>
          <w:rFonts w:ascii="Arial" w:hAnsi="Arial" w:cs="Arial"/>
          <w:sz w:val="20"/>
          <w:szCs w:val="20"/>
        </w:rPr>
        <w:t xml:space="preserve">En su recurso de apelación </w:t>
      </w:r>
      <w:proofErr w:type="spellStart"/>
      <w:r w:rsidRPr="00352602">
        <w:rPr>
          <w:rFonts w:ascii="Arial" w:hAnsi="Arial" w:cs="Arial"/>
          <w:sz w:val="20"/>
          <w:szCs w:val="20"/>
        </w:rPr>
        <w:t>Marolio</w:t>
      </w:r>
      <w:proofErr w:type="spellEnd"/>
      <w:r w:rsidRPr="00352602">
        <w:rPr>
          <w:rFonts w:ascii="Arial" w:hAnsi="Arial" w:cs="Arial"/>
          <w:sz w:val="20"/>
          <w:szCs w:val="20"/>
        </w:rPr>
        <w:t xml:space="preserve"> SA sostiene que la Resolución N° 19/2024</w:t>
      </w:r>
      <w:r>
        <w:rPr>
          <w:rFonts w:ascii="Arial" w:hAnsi="Arial" w:cs="Arial"/>
          <w:sz w:val="20"/>
          <w:szCs w:val="20"/>
        </w:rPr>
        <w:t xml:space="preserve"> </w:t>
      </w:r>
      <w:r w:rsidRPr="00352602">
        <w:rPr>
          <w:rFonts w:ascii="Arial" w:hAnsi="Arial" w:cs="Arial"/>
          <w:sz w:val="20"/>
          <w:szCs w:val="20"/>
        </w:rPr>
        <w:t>dictada por la Comisión Arbitral resulta arbitraria, por un lado, por apartarse de los criterios</w:t>
      </w:r>
      <w:r>
        <w:rPr>
          <w:rFonts w:ascii="Arial" w:hAnsi="Arial" w:cs="Arial"/>
          <w:sz w:val="20"/>
          <w:szCs w:val="20"/>
        </w:rPr>
        <w:t xml:space="preserve"> </w:t>
      </w:r>
      <w:r w:rsidRPr="00352602">
        <w:rPr>
          <w:rFonts w:ascii="Arial" w:hAnsi="Arial" w:cs="Arial"/>
          <w:sz w:val="20"/>
          <w:szCs w:val="20"/>
        </w:rPr>
        <w:t>establecidos por la normativa para la atribución de los ingresos y, por el otro, por ser</w:t>
      </w:r>
      <w:r>
        <w:rPr>
          <w:rFonts w:ascii="Arial" w:hAnsi="Arial" w:cs="Arial"/>
          <w:sz w:val="20"/>
          <w:szCs w:val="20"/>
        </w:rPr>
        <w:t xml:space="preserve"> </w:t>
      </w:r>
      <w:r w:rsidRPr="00352602">
        <w:rPr>
          <w:rFonts w:ascii="Arial" w:hAnsi="Arial" w:cs="Arial"/>
          <w:sz w:val="20"/>
          <w:szCs w:val="20"/>
        </w:rPr>
        <w:t>contraria a actos propios del Organismo sembrando una incertidumbre que afecta su</w:t>
      </w:r>
      <w:r>
        <w:rPr>
          <w:rFonts w:ascii="Arial" w:hAnsi="Arial" w:cs="Arial"/>
          <w:sz w:val="20"/>
          <w:szCs w:val="20"/>
        </w:rPr>
        <w:t xml:space="preserve"> </w:t>
      </w:r>
      <w:r w:rsidRPr="00352602">
        <w:rPr>
          <w:rFonts w:ascii="Arial" w:hAnsi="Arial" w:cs="Arial"/>
          <w:sz w:val="20"/>
          <w:szCs w:val="20"/>
        </w:rPr>
        <w:t>seguridad jurídica. Finalmente, entiende que de convalidarse el criterio de atribución</w:t>
      </w:r>
      <w:r>
        <w:rPr>
          <w:rFonts w:ascii="Arial" w:hAnsi="Arial" w:cs="Arial"/>
          <w:sz w:val="20"/>
          <w:szCs w:val="20"/>
        </w:rPr>
        <w:t xml:space="preserve"> </w:t>
      </w:r>
      <w:r w:rsidRPr="00352602">
        <w:rPr>
          <w:rFonts w:ascii="Arial" w:hAnsi="Arial" w:cs="Arial"/>
          <w:sz w:val="20"/>
          <w:szCs w:val="20"/>
        </w:rPr>
        <w:t>dispuesto por la Resolución N° 19/2024 se vulneraría el principio de territorialidad necesario</w:t>
      </w:r>
      <w:r>
        <w:rPr>
          <w:rFonts w:ascii="Arial" w:hAnsi="Arial" w:cs="Arial"/>
          <w:sz w:val="20"/>
          <w:szCs w:val="20"/>
        </w:rPr>
        <w:t xml:space="preserve"> </w:t>
      </w:r>
      <w:r w:rsidRPr="00352602">
        <w:rPr>
          <w:rFonts w:ascii="Arial" w:hAnsi="Arial" w:cs="Arial"/>
          <w:sz w:val="20"/>
          <w:szCs w:val="20"/>
        </w:rPr>
        <w:t>para la exigibilidad del Impuesto sobre los Ingresos Brutos, lo cual, además de afectar el</w:t>
      </w:r>
      <w:r w:rsidR="00FB2E15">
        <w:rPr>
          <w:rFonts w:ascii="Arial" w:hAnsi="Arial" w:cs="Arial"/>
          <w:sz w:val="20"/>
          <w:szCs w:val="20"/>
        </w:rPr>
        <w:t xml:space="preserve"> </w:t>
      </w:r>
      <w:r w:rsidRPr="00352602">
        <w:rPr>
          <w:rFonts w:ascii="Arial" w:hAnsi="Arial" w:cs="Arial"/>
          <w:sz w:val="20"/>
          <w:szCs w:val="20"/>
        </w:rPr>
        <w:t>principio de seguridad jurídica, violaría el principio de legalidad en materia tributaria.</w:t>
      </w:r>
    </w:p>
    <w:p w14:paraId="3B1E2003" w14:textId="3767D742" w:rsidR="008D0FF0" w:rsidRDefault="00FB2E15" w:rsidP="00FB2E15">
      <w:pPr>
        <w:spacing w:line="360" w:lineRule="atLeast"/>
        <w:jc w:val="both"/>
        <w:rPr>
          <w:rFonts w:ascii="Arial" w:hAnsi="Arial" w:cs="Arial"/>
          <w:sz w:val="20"/>
          <w:szCs w:val="20"/>
        </w:rPr>
      </w:pPr>
      <w:proofErr w:type="spellStart"/>
      <w:r w:rsidRPr="00FB2E15">
        <w:rPr>
          <w:rFonts w:ascii="Arial" w:hAnsi="Arial" w:cs="Arial"/>
          <w:sz w:val="20"/>
          <w:szCs w:val="20"/>
        </w:rPr>
        <w:t>Marolio</w:t>
      </w:r>
      <w:proofErr w:type="spellEnd"/>
      <w:r w:rsidRPr="00FB2E15">
        <w:rPr>
          <w:rFonts w:ascii="Arial" w:hAnsi="Arial" w:cs="Arial"/>
          <w:sz w:val="20"/>
          <w:szCs w:val="20"/>
        </w:rPr>
        <w:t xml:space="preserve"> SA reitera que es de imposible conocimiento el destino</w:t>
      </w:r>
      <w:r>
        <w:rPr>
          <w:rFonts w:ascii="Arial" w:hAnsi="Arial" w:cs="Arial"/>
          <w:sz w:val="20"/>
          <w:szCs w:val="20"/>
        </w:rPr>
        <w:t xml:space="preserve"> </w:t>
      </w:r>
      <w:r w:rsidRPr="00FB2E15">
        <w:rPr>
          <w:rFonts w:ascii="Arial" w:hAnsi="Arial" w:cs="Arial"/>
          <w:sz w:val="20"/>
          <w:szCs w:val="20"/>
        </w:rPr>
        <w:t>final de los bienes –máxime cuando se trata de bienes de consumo masivo–, de sus propios</w:t>
      </w:r>
      <w:r>
        <w:rPr>
          <w:rFonts w:ascii="Arial" w:hAnsi="Arial" w:cs="Arial"/>
          <w:sz w:val="20"/>
          <w:szCs w:val="20"/>
        </w:rPr>
        <w:t xml:space="preserve"> </w:t>
      </w:r>
      <w:r w:rsidRPr="00FB2E15">
        <w:rPr>
          <w:rFonts w:ascii="Arial" w:hAnsi="Arial" w:cs="Arial"/>
          <w:sz w:val="20"/>
          <w:szCs w:val="20"/>
        </w:rPr>
        <w:t>dichos surge que no desconoce que sus clientes poseen sucursales en jurisdicciones distintas</w:t>
      </w:r>
      <w:r>
        <w:rPr>
          <w:rFonts w:ascii="Arial" w:hAnsi="Arial" w:cs="Arial"/>
          <w:sz w:val="20"/>
          <w:szCs w:val="20"/>
        </w:rPr>
        <w:t xml:space="preserve"> </w:t>
      </w:r>
      <w:r w:rsidRPr="00FB2E15">
        <w:rPr>
          <w:rFonts w:ascii="Arial" w:hAnsi="Arial" w:cs="Arial"/>
          <w:sz w:val="20"/>
          <w:szCs w:val="20"/>
        </w:rPr>
        <w:t>a donde se ubica el centro de distribución y donde evidentemente tendrá destino una parte</w:t>
      </w:r>
      <w:r>
        <w:rPr>
          <w:rFonts w:ascii="Arial" w:hAnsi="Arial" w:cs="Arial"/>
          <w:sz w:val="20"/>
          <w:szCs w:val="20"/>
        </w:rPr>
        <w:t xml:space="preserve"> </w:t>
      </w:r>
      <w:r w:rsidRPr="00FB2E15">
        <w:rPr>
          <w:rFonts w:ascii="Arial" w:hAnsi="Arial" w:cs="Arial"/>
          <w:sz w:val="20"/>
          <w:szCs w:val="20"/>
        </w:rPr>
        <w:t>importante de los productos que comercializa.</w:t>
      </w:r>
    </w:p>
    <w:p w14:paraId="600BF482" w14:textId="1B7854B6" w:rsidR="00EF3FD5" w:rsidRDefault="00FB2E15" w:rsidP="00EF3FD5">
      <w:pPr>
        <w:spacing w:line="360" w:lineRule="atLeast"/>
        <w:jc w:val="both"/>
        <w:rPr>
          <w:rFonts w:ascii="Arial" w:hAnsi="Arial" w:cs="Arial"/>
          <w:sz w:val="20"/>
          <w:szCs w:val="20"/>
        </w:rPr>
      </w:pPr>
      <w:r>
        <w:rPr>
          <w:rFonts w:ascii="Arial" w:hAnsi="Arial" w:cs="Arial"/>
          <w:sz w:val="20"/>
          <w:szCs w:val="20"/>
        </w:rPr>
        <w:t>L</w:t>
      </w:r>
      <w:r w:rsidRPr="00FB2E15">
        <w:rPr>
          <w:rFonts w:ascii="Arial" w:hAnsi="Arial" w:cs="Arial"/>
          <w:sz w:val="20"/>
          <w:szCs w:val="20"/>
        </w:rPr>
        <w:t>a resolución apelada aplica los coeficientes como</w:t>
      </w:r>
      <w:r>
        <w:rPr>
          <w:rFonts w:ascii="Arial" w:hAnsi="Arial" w:cs="Arial"/>
          <w:sz w:val="20"/>
          <w:szCs w:val="20"/>
        </w:rPr>
        <w:t xml:space="preserve"> </w:t>
      </w:r>
      <w:r w:rsidRPr="00FB2E15">
        <w:rPr>
          <w:rFonts w:ascii="Arial" w:hAnsi="Arial" w:cs="Arial"/>
          <w:sz w:val="20"/>
          <w:szCs w:val="20"/>
        </w:rPr>
        <w:t>un método para proporcionar razonablemente el desarrollo de la actividad principal cuando</w:t>
      </w:r>
      <w:r>
        <w:rPr>
          <w:rFonts w:ascii="Arial" w:hAnsi="Arial" w:cs="Arial"/>
          <w:sz w:val="20"/>
          <w:szCs w:val="20"/>
        </w:rPr>
        <w:t xml:space="preserve"> </w:t>
      </w:r>
      <w:r w:rsidRPr="00FB2E15">
        <w:rPr>
          <w:rFonts w:ascii="Arial" w:hAnsi="Arial" w:cs="Arial"/>
          <w:sz w:val="20"/>
          <w:szCs w:val="20"/>
        </w:rPr>
        <w:t xml:space="preserve">esta es de tipo </w:t>
      </w:r>
      <w:proofErr w:type="spellStart"/>
      <w:r w:rsidRPr="00FB2E15">
        <w:rPr>
          <w:rFonts w:ascii="Arial" w:hAnsi="Arial" w:cs="Arial"/>
          <w:sz w:val="20"/>
          <w:szCs w:val="20"/>
        </w:rPr>
        <w:t>multijurisdiccional</w:t>
      </w:r>
      <w:proofErr w:type="spellEnd"/>
      <w:r w:rsidRPr="00FB2E15">
        <w:rPr>
          <w:rFonts w:ascii="Arial" w:hAnsi="Arial" w:cs="Arial"/>
          <w:sz w:val="20"/>
          <w:szCs w:val="20"/>
        </w:rPr>
        <w:t>, lo que permite reflejar de manera más precisa la realidad</w:t>
      </w:r>
      <w:r>
        <w:rPr>
          <w:rFonts w:ascii="Arial" w:hAnsi="Arial" w:cs="Arial"/>
          <w:sz w:val="20"/>
          <w:szCs w:val="20"/>
        </w:rPr>
        <w:t xml:space="preserve"> </w:t>
      </w:r>
      <w:r w:rsidRPr="00FB2E15">
        <w:rPr>
          <w:rFonts w:ascii="Arial" w:hAnsi="Arial" w:cs="Arial"/>
          <w:sz w:val="20"/>
          <w:szCs w:val="20"/>
        </w:rPr>
        <w:t>económica</w:t>
      </w:r>
      <w:r w:rsidR="00EF3FD5">
        <w:rPr>
          <w:rFonts w:ascii="Arial" w:hAnsi="Arial" w:cs="Arial"/>
          <w:sz w:val="20"/>
          <w:szCs w:val="20"/>
        </w:rPr>
        <w:t>.</w:t>
      </w:r>
      <w:r w:rsidR="00EF3FD5" w:rsidRPr="00EF3FD5">
        <w:t xml:space="preserve"> </w:t>
      </w:r>
      <w:r w:rsidR="00EF3FD5">
        <w:t xml:space="preserve">Se Resuelve: </w:t>
      </w:r>
      <w:r w:rsidR="00EF3FD5" w:rsidRPr="00EF3FD5">
        <w:rPr>
          <w:rFonts w:ascii="Arial" w:hAnsi="Arial" w:cs="Arial"/>
          <w:sz w:val="20"/>
          <w:szCs w:val="20"/>
        </w:rPr>
        <w:t>el criterio utilizado por la Comisión Arbitral es razonable y permite,</w:t>
      </w:r>
      <w:r w:rsidR="00EF3FD5">
        <w:rPr>
          <w:rFonts w:ascii="Arial" w:hAnsi="Arial" w:cs="Arial"/>
          <w:sz w:val="20"/>
          <w:szCs w:val="20"/>
        </w:rPr>
        <w:t xml:space="preserve"> </w:t>
      </w:r>
      <w:r w:rsidR="00EF3FD5" w:rsidRPr="00EF3FD5">
        <w:rPr>
          <w:rFonts w:ascii="Arial" w:hAnsi="Arial" w:cs="Arial"/>
          <w:sz w:val="20"/>
          <w:szCs w:val="20"/>
        </w:rPr>
        <w:t>asimismo, acercarse a la realidad económica, mientras que la postura del apelante prescinde</w:t>
      </w:r>
      <w:r w:rsidR="00EF3FD5">
        <w:rPr>
          <w:rFonts w:ascii="Arial" w:hAnsi="Arial" w:cs="Arial"/>
          <w:sz w:val="20"/>
          <w:szCs w:val="20"/>
        </w:rPr>
        <w:t xml:space="preserve"> </w:t>
      </w:r>
      <w:r w:rsidR="00EF3FD5" w:rsidRPr="00EF3FD5">
        <w:rPr>
          <w:rFonts w:ascii="Arial" w:hAnsi="Arial" w:cs="Arial"/>
          <w:sz w:val="20"/>
          <w:szCs w:val="20"/>
        </w:rPr>
        <w:t>de la misma; por ello, cabe ratificar lo resuelto por la Comisión Arbitral.</w:t>
      </w:r>
    </w:p>
    <w:p w14:paraId="672F8B0B" w14:textId="7D8F323A" w:rsidR="00FB2E15" w:rsidRDefault="00EF3FD5" w:rsidP="00EF3FD5">
      <w:pPr>
        <w:spacing w:line="360" w:lineRule="atLeast"/>
        <w:jc w:val="both"/>
        <w:rPr>
          <w:rFonts w:ascii="Arial" w:hAnsi="Arial" w:cs="Arial"/>
          <w:sz w:val="20"/>
          <w:szCs w:val="20"/>
        </w:rPr>
      </w:pPr>
      <w:r>
        <w:rPr>
          <w:rFonts w:ascii="Arial" w:hAnsi="Arial" w:cs="Arial"/>
          <w:sz w:val="20"/>
          <w:szCs w:val="20"/>
        </w:rPr>
        <w:t xml:space="preserve">Recordemos </w:t>
      </w:r>
      <w:proofErr w:type="spellStart"/>
      <w:r>
        <w:rPr>
          <w:rFonts w:ascii="Arial" w:hAnsi="Arial" w:cs="Arial"/>
          <w:sz w:val="20"/>
          <w:szCs w:val="20"/>
        </w:rPr>
        <w:t>Marolio</w:t>
      </w:r>
      <w:proofErr w:type="spellEnd"/>
      <w:r>
        <w:rPr>
          <w:rFonts w:ascii="Arial" w:hAnsi="Arial" w:cs="Arial"/>
          <w:sz w:val="20"/>
          <w:szCs w:val="20"/>
        </w:rPr>
        <w:t xml:space="preserve"> asigno al centro de distribución cito en Provincia de Buenos Aires, CABA impugnó, CA resolvió que</w:t>
      </w:r>
      <w:r w:rsidRPr="00EF3FD5">
        <w:t xml:space="preserve"> </w:t>
      </w:r>
      <w:r w:rsidRPr="00EF3FD5">
        <w:rPr>
          <w:rFonts w:ascii="Arial" w:hAnsi="Arial" w:cs="Arial"/>
          <w:sz w:val="20"/>
          <w:szCs w:val="20"/>
        </w:rPr>
        <w:t>deberá practicar una reliquidación</w:t>
      </w:r>
      <w:r>
        <w:rPr>
          <w:rFonts w:ascii="Arial" w:hAnsi="Arial" w:cs="Arial"/>
          <w:sz w:val="20"/>
          <w:szCs w:val="20"/>
        </w:rPr>
        <w:t xml:space="preserve"> </w:t>
      </w:r>
      <w:r w:rsidRPr="00EF3FD5">
        <w:rPr>
          <w:rFonts w:ascii="Arial" w:hAnsi="Arial" w:cs="Arial"/>
          <w:sz w:val="20"/>
          <w:szCs w:val="20"/>
        </w:rPr>
        <w:t xml:space="preserve">del ajuste de ingresos, teniendo en consideración para dicha </w:t>
      </w:r>
      <w:r w:rsidRPr="00EF3FD5">
        <w:rPr>
          <w:rFonts w:ascii="Arial" w:hAnsi="Arial" w:cs="Arial"/>
          <w:b/>
          <w:bCs/>
          <w:sz w:val="20"/>
          <w:szCs w:val="20"/>
        </w:rPr>
        <w:t>asignación los coeficientes</w:t>
      </w:r>
      <w:r>
        <w:rPr>
          <w:rFonts w:ascii="Arial" w:hAnsi="Arial" w:cs="Arial"/>
          <w:b/>
          <w:bCs/>
          <w:sz w:val="20"/>
          <w:szCs w:val="20"/>
        </w:rPr>
        <w:t xml:space="preserve"> </w:t>
      </w:r>
      <w:r w:rsidRPr="00EF3FD5">
        <w:rPr>
          <w:rFonts w:ascii="Arial" w:hAnsi="Arial" w:cs="Arial"/>
          <w:b/>
          <w:bCs/>
          <w:sz w:val="20"/>
          <w:szCs w:val="20"/>
        </w:rPr>
        <w:t xml:space="preserve">declarados por los clientes </w:t>
      </w:r>
      <w:r w:rsidRPr="00EF3FD5">
        <w:rPr>
          <w:rFonts w:ascii="Arial" w:hAnsi="Arial" w:cs="Arial"/>
          <w:sz w:val="20"/>
          <w:szCs w:val="20"/>
        </w:rPr>
        <w:t>a los efectos de proporcionar el destino final de los bienes.</w:t>
      </w:r>
      <w:r>
        <w:rPr>
          <w:rFonts w:ascii="Arial" w:hAnsi="Arial" w:cs="Arial"/>
          <w:sz w:val="20"/>
          <w:szCs w:val="20"/>
        </w:rPr>
        <w:t xml:space="preserve"> </w:t>
      </w:r>
      <w:r w:rsidRPr="00EF3FD5">
        <w:rPr>
          <w:rFonts w:ascii="Arial" w:hAnsi="Arial" w:cs="Arial"/>
          <w:sz w:val="20"/>
          <w:szCs w:val="20"/>
        </w:rPr>
        <w:t xml:space="preserve">Dicha reliquidación deberá efectuarse respecto de las firmas </w:t>
      </w:r>
      <w:proofErr w:type="spellStart"/>
      <w:r w:rsidRPr="00EF3FD5">
        <w:rPr>
          <w:rFonts w:ascii="Arial" w:hAnsi="Arial" w:cs="Arial"/>
          <w:sz w:val="20"/>
          <w:szCs w:val="20"/>
        </w:rPr>
        <w:t>Wal</w:t>
      </w:r>
      <w:proofErr w:type="spellEnd"/>
      <w:r w:rsidRPr="00EF3FD5">
        <w:rPr>
          <w:rFonts w:ascii="Arial" w:hAnsi="Arial" w:cs="Arial"/>
          <w:sz w:val="20"/>
          <w:szCs w:val="20"/>
        </w:rPr>
        <w:t xml:space="preserve"> </w:t>
      </w:r>
      <w:proofErr w:type="spellStart"/>
      <w:proofErr w:type="gramStart"/>
      <w:r w:rsidRPr="00EF3FD5">
        <w:rPr>
          <w:rFonts w:ascii="Arial" w:hAnsi="Arial" w:cs="Arial"/>
          <w:sz w:val="20"/>
          <w:szCs w:val="20"/>
        </w:rPr>
        <w:t>Mart</w:t>
      </w:r>
      <w:proofErr w:type="spellEnd"/>
      <w:proofErr w:type="gramEnd"/>
      <w:r w:rsidRPr="00EF3FD5">
        <w:rPr>
          <w:rFonts w:ascii="Arial" w:hAnsi="Arial" w:cs="Arial"/>
          <w:sz w:val="20"/>
          <w:szCs w:val="20"/>
        </w:rPr>
        <w:t xml:space="preserve"> y Jumbo.</w:t>
      </w:r>
    </w:p>
    <w:p w14:paraId="6EC5F7B9" w14:textId="77777777" w:rsidR="00352602" w:rsidRPr="00D416D0" w:rsidRDefault="00352602" w:rsidP="00352602">
      <w:pPr>
        <w:spacing w:line="360" w:lineRule="atLeast"/>
        <w:jc w:val="both"/>
        <w:rPr>
          <w:rFonts w:ascii="Arial" w:hAnsi="Arial" w:cs="Arial"/>
          <w:sz w:val="20"/>
          <w:szCs w:val="20"/>
        </w:rPr>
      </w:pPr>
    </w:p>
    <w:p w14:paraId="3FA700F6" w14:textId="5BBB0EDE" w:rsidR="00F51DCA" w:rsidRPr="00D416D0" w:rsidRDefault="0039567C" w:rsidP="0045223A">
      <w:pPr>
        <w:pStyle w:val="ListParagraph"/>
        <w:numPr>
          <w:ilvl w:val="0"/>
          <w:numId w:val="5"/>
        </w:numPr>
        <w:spacing w:line="360" w:lineRule="atLeast"/>
        <w:jc w:val="both"/>
        <w:rPr>
          <w:rFonts w:ascii="Arial" w:hAnsi="Arial" w:cs="Arial"/>
          <w:b/>
          <w:bCs/>
          <w:sz w:val="20"/>
          <w:szCs w:val="20"/>
        </w:rPr>
      </w:pPr>
      <w:r w:rsidRPr="00D416D0">
        <w:rPr>
          <w:rFonts w:ascii="Arial" w:hAnsi="Arial" w:cs="Arial"/>
          <w:b/>
          <w:bCs/>
          <w:sz w:val="20"/>
          <w:szCs w:val="20"/>
        </w:rPr>
        <w:t xml:space="preserve">RESOLUCION </w:t>
      </w:r>
      <w:r w:rsidR="00F51DCA" w:rsidRPr="00D416D0">
        <w:rPr>
          <w:rFonts w:ascii="Arial" w:hAnsi="Arial" w:cs="Arial"/>
          <w:b/>
          <w:bCs/>
          <w:sz w:val="20"/>
          <w:szCs w:val="20"/>
        </w:rPr>
        <w:t xml:space="preserve">NOVEDADES NORMATIVAS </w:t>
      </w:r>
      <w:r w:rsidR="00C85195" w:rsidRPr="00D416D0">
        <w:rPr>
          <w:rFonts w:ascii="Arial" w:hAnsi="Arial" w:cs="Arial"/>
          <w:b/>
          <w:bCs/>
          <w:sz w:val="20"/>
          <w:szCs w:val="20"/>
        </w:rPr>
        <w:t xml:space="preserve">a cargo de José </w:t>
      </w:r>
      <w:proofErr w:type="spellStart"/>
      <w:r w:rsidR="00C85195" w:rsidRPr="00D416D0">
        <w:rPr>
          <w:rFonts w:ascii="Arial" w:hAnsi="Arial" w:cs="Arial"/>
          <w:b/>
          <w:bCs/>
          <w:sz w:val="20"/>
          <w:szCs w:val="20"/>
        </w:rPr>
        <w:t>Alaniz</w:t>
      </w:r>
      <w:proofErr w:type="spellEnd"/>
    </w:p>
    <w:p w14:paraId="2BAFCDF4" w14:textId="663CA0D3" w:rsidR="00D416D0" w:rsidRPr="00D416D0" w:rsidRDefault="00D416D0" w:rsidP="00D416D0">
      <w:pPr>
        <w:pStyle w:val="ListParagraph"/>
        <w:numPr>
          <w:ilvl w:val="0"/>
          <w:numId w:val="4"/>
        </w:numPr>
        <w:spacing w:line="360" w:lineRule="atLeast"/>
        <w:jc w:val="both"/>
        <w:rPr>
          <w:rFonts w:ascii="Arial" w:hAnsi="Arial" w:cs="Arial"/>
          <w:b/>
          <w:bCs/>
          <w:sz w:val="20"/>
          <w:szCs w:val="20"/>
        </w:rPr>
      </w:pPr>
      <w:r w:rsidRPr="00D416D0">
        <w:rPr>
          <w:rFonts w:ascii="Arial" w:hAnsi="Arial" w:cs="Arial"/>
          <w:b/>
          <w:bCs/>
          <w:sz w:val="20"/>
          <w:szCs w:val="20"/>
        </w:rPr>
        <w:lastRenderedPageBreak/>
        <w:t>MISIONES. RESOLUCIÓN GENERAL (ATM Misiones) 15/2025. Misiones simplifica los trámites de devolución, compensación, cesión de saldos, exclusión o reducción de alícuota de los regímenes de recaudación</w:t>
      </w:r>
    </w:p>
    <w:p w14:paraId="7E601B86" w14:textId="3F1D364D" w:rsidR="00D416D0" w:rsidRPr="00D416D0" w:rsidRDefault="00D416D0" w:rsidP="00D416D0">
      <w:pPr>
        <w:spacing w:line="360" w:lineRule="atLeast"/>
        <w:jc w:val="both"/>
        <w:rPr>
          <w:rFonts w:ascii="Arial" w:hAnsi="Arial" w:cs="Arial"/>
          <w:sz w:val="20"/>
          <w:szCs w:val="20"/>
        </w:rPr>
      </w:pPr>
      <w:r w:rsidRPr="00D416D0">
        <w:rPr>
          <w:rFonts w:ascii="Arial" w:hAnsi="Arial" w:cs="Arial"/>
          <w:sz w:val="20"/>
          <w:szCs w:val="20"/>
        </w:rPr>
        <w:t>La Dirección General de Rentas elimina el requisito de certificación de Contador Público, en el trámite las solicitudes de contribuyente de:</w:t>
      </w:r>
    </w:p>
    <w:p w14:paraId="480CD126" w14:textId="77777777" w:rsidR="00D416D0" w:rsidRPr="00D416D0" w:rsidRDefault="00D416D0" w:rsidP="00D416D0">
      <w:pPr>
        <w:spacing w:line="360" w:lineRule="atLeast"/>
        <w:jc w:val="both"/>
        <w:rPr>
          <w:rFonts w:ascii="Arial" w:hAnsi="Arial" w:cs="Arial"/>
          <w:sz w:val="20"/>
          <w:szCs w:val="20"/>
        </w:rPr>
      </w:pPr>
      <w:r w:rsidRPr="00D416D0">
        <w:rPr>
          <w:rFonts w:ascii="Arial" w:hAnsi="Arial" w:cs="Arial"/>
          <w:sz w:val="20"/>
          <w:szCs w:val="20"/>
        </w:rPr>
        <w:t>- exclusión de regímenes de retención, percepción, pagos a cuenta y anticipos mínimos;</w:t>
      </w:r>
    </w:p>
    <w:p w14:paraId="2EC0872E" w14:textId="77777777" w:rsidR="00D416D0" w:rsidRPr="00D416D0" w:rsidRDefault="00D416D0" w:rsidP="00D416D0">
      <w:pPr>
        <w:spacing w:line="360" w:lineRule="atLeast"/>
        <w:jc w:val="both"/>
        <w:rPr>
          <w:rFonts w:ascii="Arial" w:hAnsi="Arial" w:cs="Arial"/>
          <w:sz w:val="20"/>
          <w:szCs w:val="20"/>
        </w:rPr>
      </w:pPr>
      <w:r w:rsidRPr="00D416D0">
        <w:rPr>
          <w:rFonts w:ascii="Arial" w:hAnsi="Arial" w:cs="Arial"/>
          <w:sz w:val="20"/>
          <w:szCs w:val="20"/>
        </w:rPr>
        <w:t>- reducción de las alícuotas de retención o percepción, pagos a cuenta y anticipos mínimos;</w:t>
      </w:r>
    </w:p>
    <w:p w14:paraId="2B0ECA87" w14:textId="77777777" w:rsidR="00D416D0" w:rsidRPr="00D416D0" w:rsidRDefault="00D416D0" w:rsidP="00D416D0">
      <w:pPr>
        <w:spacing w:line="360" w:lineRule="atLeast"/>
        <w:jc w:val="both"/>
        <w:rPr>
          <w:rFonts w:ascii="Arial" w:hAnsi="Arial" w:cs="Arial"/>
          <w:sz w:val="20"/>
          <w:szCs w:val="20"/>
        </w:rPr>
      </w:pPr>
      <w:r w:rsidRPr="00D416D0">
        <w:rPr>
          <w:rFonts w:ascii="Arial" w:hAnsi="Arial" w:cs="Arial"/>
          <w:sz w:val="20"/>
          <w:szCs w:val="20"/>
        </w:rPr>
        <w:t>- devolución de saldos a favor;</w:t>
      </w:r>
    </w:p>
    <w:p w14:paraId="717C5636" w14:textId="77777777" w:rsidR="00D416D0" w:rsidRPr="00D416D0" w:rsidRDefault="00D416D0" w:rsidP="00D416D0">
      <w:pPr>
        <w:spacing w:line="360" w:lineRule="atLeast"/>
        <w:jc w:val="both"/>
        <w:rPr>
          <w:rFonts w:ascii="Arial" w:hAnsi="Arial" w:cs="Arial"/>
          <w:sz w:val="20"/>
          <w:szCs w:val="20"/>
        </w:rPr>
      </w:pPr>
      <w:r w:rsidRPr="00D416D0">
        <w:rPr>
          <w:rFonts w:ascii="Arial" w:hAnsi="Arial" w:cs="Arial"/>
          <w:sz w:val="20"/>
          <w:szCs w:val="20"/>
        </w:rPr>
        <w:t>- compensación de saldos a favor con deudas de diferentes tributos o con regímenes de retención y/o percepción; y</w:t>
      </w:r>
    </w:p>
    <w:p w14:paraId="0424225F" w14:textId="4A044629" w:rsidR="00D416D0" w:rsidRDefault="00D416D0" w:rsidP="00D416D0">
      <w:pPr>
        <w:spacing w:line="360" w:lineRule="atLeast"/>
        <w:jc w:val="both"/>
        <w:rPr>
          <w:rFonts w:ascii="Arial" w:hAnsi="Arial" w:cs="Arial"/>
          <w:sz w:val="20"/>
          <w:szCs w:val="20"/>
        </w:rPr>
      </w:pPr>
      <w:r w:rsidRPr="00D416D0">
        <w:rPr>
          <w:rFonts w:ascii="Arial" w:hAnsi="Arial" w:cs="Arial"/>
          <w:sz w:val="20"/>
          <w:szCs w:val="20"/>
        </w:rPr>
        <w:t>- cesión y transferencia de saldos a favor.</w:t>
      </w:r>
    </w:p>
    <w:p w14:paraId="66472784" w14:textId="77777777" w:rsidR="00D416D0" w:rsidRPr="00D416D0" w:rsidRDefault="00D416D0" w:rsidP="00D416D0">
      <w:pPr>
        <w:spacing w:line="360" w:lineRule="atLeast"/>
        <w:jc w:val="both"/>
        <w:rPr>
          <w:rFonts w:ascii="Arial" w:hAnsi="Arial" w:cs="Arial"/>
          <w:b/>
          <w:bCs/>
          <w:sz w:val="20"/>
          <w:szCs w:val="20"/>
        </w:rPr>
      </w:pPr>
    </w:p>
    <w:p w14:paraId="0CABFF76" w14:textId="06FE8970" w:rsidR="00D416D0" w:rsidRPr="00D416D0" w:rsidRDefault="00D416D0" w:rsidP="00D416D0">
      <w:pPr>
        <w:pStyle w:val="ListParagraph"/>
        <w:numPr>
          <w:ilvl w:val="0"/>
          <w:numId w:val="4"/>
        </w:numPr>
        <w:spacing w:line="360" w:lineRule="atLeast"/>
        <w:jc w:val="both"/>
        <w:rPr>
          <w:rFonts w:ascii="Arial" w:hAnsi="Arial" w:cs="Arial"/>
          <w:b/>
          <w:bCs/>
          <w:sz w:val="20"/>
          <w:szCs w:val="20"/>
        </w:rPr>
      </w:pPr>
      <w:r w:rsidRPr="00D416D0">
        <w:rPr>
          <w:rFonts w:ascii="Arial" w:hAnsi="Arial" w:cs="Arial"/>
          <w:b/>
          <w:bCs/>
          <w:sz w:val="20"/>
          <w:szCs w:val="20"/>
        </w:rPr>
        <w:t>SALTA. RESOLUCIÓN GENERAL (DGR Salta) 13/2025. Salta: procedimiento y requisitos para acceder al Régimen Promocional de Reducción de la Carga Fiscal.</w:t>
      </w:r>
    </w:p>
    <w:p w14:paraId="408842E6" w14:textId="262BFC15" w:rsidR="00D416D0" w:rsidRPr="00215341" w:rsidRDefault="00D416D0" w:rsidP="00D416D0">
      <w:pPr>
        <w:spacing w:line="360" w:lineRule="atLeast"/>
        <w:jc w:val="both"/>
        <w:rPr>
          <w:rFonts w:ascii="Arial" w:hAnsi="Arial" w:cs="Arial"/>
          <w:b/>
          <w:bCs/>
          <w:sz w:val="20"/>
          <w:szCs w:val="20"/>
        </w:rPr>
      </w:pPr>
      <w:r w:rsidRPr="00D416D0">
        <w:rPr>
          <w:rFonts w:ascii="Arial" w:hAnsi="Arial" w:cs="Arial"/>
          <w:sz w:val="20"/>
          <w:szCs w:val="20"/>
        </w:rPr>
        <w:t>La Dirección General de Rentas establece los requisitos y demás condiciones para que los contribuyentes del Impuesto a las Actividades Económicas accedan al beneficio de reducción de alícuotas.</w:t>
      </w:r>
    </w:p>
    <w:p w14:paraId="5C74D650" w14:textId="46322F60" w:rsidR="00215341" w:rsidRPr="00215341" w:rsidRDefault="00215341" w:rsidP="00215341">
      <w:pPr>
        <w:pStyle w:val="ListParagraph"/>
        <w:numPr>
          <w:ilvl w:val="0"/>
          <w:numId w:val="4"/>
        </w:numPr>
        <w:spacing w:line="360" w:lineRule="atLeast"/>
        <w:jc w:val="both"/>
        <w:rPr>
          <w:rFonts w:ascii="Arial" w:hAnsi="Arial" w:cs="Arial"/>
          <w:b/>
          <w:bCs/>
          <w:sz w:val="20"/>
          <w:szCs w:val="20"/>
        </w:rPr>
      </w:pPr>
      <w:r w:rsidRPr="00215341">
        <w:rPr>
          <w:rFonts w:ascii="Arial" w:hAnsi="Arial" w:cs="Arial"/>
          <w:b/>
          <w:bCs/>
          <w:sz w:val="20"/>
          <w:szCs w:val="20"/>
        </w:rPr>
        <w:t>SANTA FE: RESOLUCIÓN GENERAL (API Santa Fe) 37/2025. Santa Fe actualiza los topes del procedimiento simplificado de devolución y compensación de saldos a favor</w:t>
      </w:r>
      <w:r>
        <w:rPr>
          <w:rFonts w:ascii="Arial" w:hAnsi="Arial" w:cs="Arial"/>
          <w:b/>
          <w:bCs/>
          <w:sz w:val="20"/>
          <w:szCs w:val="20"/>
        </w:rPr>
        <w:t>.</w:t>
      </w:r>
    </w:p>
    <w:p w14:paraId="5154E538" w14:textId="27290E4A" w:rsidR="00D416D0" w:rsidRPr="00215341" w:rsidRDefault="00215341" w:rsidP="00215341">
      <w:pPr>
        <w:spacing w:line="360" w:lineRule="atLeast"/>
        <w:jc w:val="both"/>
        <w:rPr>
          <w:rFonts w:ascii="Arial" w:hAnsi="Arial" w:cs="Arial"/>
          <w:b/>
          <w:bCs/>
          <w:sz w:val="20"/>
          <w:szCs w:val="20"/>
        </w:rPr>
      </w:pPr>
      <w:r w:rsidRPr="00215341">
        <w:rPr>
          <w:rFonts w:ascii="Arial" w:hAnsi="Arial" w:cs="Arial"/>
          <w:sz w:val="20"/>
          <w:szCs w:val="20"/>
        </w:rPr>
        <w:t>La API modifica el procedimiento simplificado para la devolución y/o compensación de saldos a favor en el impuesto sobre los ingresos brutos y eleva el tope del Saldo a Favor Autorizado (SFA) $10.000.000, según la calificación de riesgo fiscal del contribuyente.</w:t>
      </w:r>
    </w:p>
    <w:p w14:paraId="05C36E83" w14:textId="640AFD63" w:rsidR="00215341" w:rsidRPr="00215341" w:rsidRDefault="00215341" w:rsidP="00215341">
      <w:pPr>
        <w:pStyle w:val="ListParagraph"/>
        <w:numPr>
          <w:ilvl w:val="0"/>
          <w:numId w:val="4"/>
        </w:numPr>
        <w:spacing w:line="360" w:lineRule="atLeast"/>
        <w:jc w:val="both"/>
        <w:rPr>
          <w:rFonts w:ascii="Arial" w:hAnsi="Arial" w:cs="Arial"/>
          <w:b/>
          <w:bCs/>
          <w:sz w:val="20"/>
          <w:szCs w:val="20"/>
        </w:rPr>
      </w:pPr>
      <w:r w:rsidRPr="00215341">
        <w:rPr>
          <w:rFonts w:ascii="Arial" w:hAnsi="Arial" w:cs="Arial"/>
          <w:b/>
          <w:bCs/>
          <w:sz w:val="20"/>
          <w:szCs w:val="20"/>
        </w:rPr>
        <w:t>ENTRE RIOS. DECRETO (E. Ríos) 1843/2025. Entre Ríos crea un régimen especial de regularización fiscal para la cancelación de tributos vencidos al 30 de junio de 2025</w:t>
      </w:r>
    </w:p>
    <w:p w14:paraId="3BEEFB8E" w14:textId="22B1E13F" w:rsidR="00215341" w:rsidRPr="002C07F5" w:rsidRDefault="00215341" w:rsidP="00215341">
      <w:pPr>
        <w:spacing w:line="360" w:lineRule="atLeast"/>
        <w:jc w:val="both"/>
        <w:rPr>
          <w:rFonts w:ascii="Arial" w:hAnsi="Arial" w:cs="Arial"/>
          <w:b/>
          <w:bCs/>
          <w:sz w:val="20"/>
          <w:szCs w:val="20"/>
        </w:rPr>
      </w:pPr>
      <w:r w:rsidRPr="00215341">
        <w:rPr>
          <w:rFonts w:ascii="Arial" w:hAnsi="Arial" w:cs="Arial"/>
          <w:sz w:val="20"/>
          <w:szCs w:val="20"/>
        </w:rPr>
        <w:t>Se establece un Régimen Especial de Regularización Fiscal para la cancelación de obligaciones adeudadas en concepto de tributos provinciales administrados por la Administradora Tributaria de Entre Ríos, y para la declaración de obras y mejoras constructivas, cuyos vencimientos hayan operado hasta el 30 de junio de 2025.</w:t>
      </w:r>
    </w:p>
    <w:p w14:paraId="60F2D412" w14:textId="08CC277F" w:rsidR="002C07F5" w:rsidRPr="002C07F5" w:rsidRDefault="002C07F5" w:rsidP="002C07F5">
      <w:pPr>
        <w:pStyle w:val="ListParagraph"/>
        <w:numPr>
          <w:ilvl w:val="0"/>
          <w:numId w:val="4"/>
        </w:numPr>
        <w:spacing w:line="360" w:lineRule="atLeast"/>
        <w:jc w:val="both"/>
        <w:rPr>
          <w:rFonts w:ascii="Arial" w:hAnsi="Arial" w:cs="Arial"/>
          <w:b/>
          <w:bCs/>
          <w:sz w:val="20"/>
          <w:szCs w:val="20"/>
        </w:rPr>
      </w:pPr>
      <w:r w:rsidRPr="002C07F5">
        <w:rPr>
          <w:rFonts w:ascii="Arial" w:hAnsi="Arial" w:cs="Arial"/>
          <w:b/>
          <w:bCs/>
          <w:sz w:val="20"/>
          <w:szCs w:val="20"/>
        </w:rPr>
        <w:t>SANTA FE. RESOLUCIÓN GENERAL (API Santa Fe) 36/2025. Santa Fe: Disposiciones complementarias para los agentes de recaudación del régimen de percepción de Ingresos Brutos para servicios digitales</w:t>
      </w:r>
    </w:p>
    <w:p w14:paraId="6B393B6A" w14:textId="77777777" w:rsidR="002C07F5" w:rsidRPr="002C07F5" w:rsidRDefault="002C07F5" w:rsidP="002C07F5">
      <w:pPr>
        <w:spacing w:line="360" w:lineRule="atLeast"/>
        <w:jc w:val="both"/>
        <w:rPr>
          <w:rFonts w:ascii="Arial" w:hAnsi="Arial" w:cs="Arial"/>
          <w:sz w:val="20"/>
          <w:szCs w:val="20"/>
        </w:rPr>
      </w:pPr>
      <w:r w:rsidRPr="002C07F5">
        <w:rPr>
          <w:rFonts w:ascii="Arial" w:hAnsi="Arial" w:cs="Arial"/>
          <w:sz w:val="20"/>
          <w:szCs w:val="20"/>
        </w:rPr>
        <w:lastRenderedPageBreak/>
        <w:t>La Administración Provincial de Impuestos de Santa Fe establece precisiones aplicables a partir de las operaciones realizadas desde el 1° de agosto de 2025, para que las entidades que administren o faciliten pagos, incluidos procesadores de pagos y billeteras electrónicas, actúen como agentes del Régimen de percepción del Impuesto sobre los Ingresos Brutos para servicios digitales prestados por sujetos no residentes.</w:t>
      </w:r>
    </w:p>
    <w:p w14:paraId="0DA949C5" w14:textId="77777777" w:rsidR="002C07F5" w:rsidRPr="002C07F5" w:rsidRDefault="002C07F5" w:rsidP="002C07F5">
      <w:pPr>
        <w:spacing w:line="360" w:lineRule="atLeast"/>
        <w:jc w:val="both"/>
        <w:rPr>
          <w:rFonts w:ascii="Arial" w:hAnsi="Arial" w:cs="Arial"/>
          <w:sz w:val="20"/>
          <w:szCs w:val="20"/>
        </w:rPr>
      </w:pPr>
      <w:r w:rsidRPr="002C07F5">
        <w:rPr>
          <w:rFonts w:ascii="Arial" w:hAnsi="Arial" w:cs="Arial"/>
          <w:sz w:val="20"/>
          <w:szCs w:val="20"/>
        </w:rPr>
        <w:t>En este sentido API aclara que cuando existan múltiples intermediarios, el agente será quien tenga una relación comercial directa o prioritaria con el prestador del servicio. Si el pago se realiza con tarjetas de crédito, compra, débito o prepagas, la entidad emisora del medio de pago es el agente de liquidación. En operaciones de pago internacionales con un agrupador o agregador, este debe notificar a la emisora de la tarjeta, quien luego se convierte en el agente. Cualquier error u omisión en el cálculo o la percepción del gravamen provocará que se reprocese y abone el monto omitido con sus respectivos accesorios.</w:t>
      </w:r>
    </w:p>
    <w:p w14:paraId="6A15EE72" w14:textId="662C7F13" w:rsidR="002C07F5" w:rsidRDefault="002C07F5" w:rsidP="002C07F5">
      <w:pPr>
        <w:spacing w:line="360" w:lineRule="atLeast"/>
        <w:jc w:val="both"/>
        <w:rPr>
          <w:rFonts w:ascii="Arial" w:hAnsi="Arial" w:cs="Arial"/>
          <w:sz w:val="20"/>
          <w:szCs w:val="20"/>
        </w:rPr>
      </w:pPr>
      <w:r w:rsidRPr="002C07F5">
        <w:rPr>
          <w:rFonts w:ascii="Arial" w:hAnsi="Arial" w:cs="Arial"/>
          <w:sz w:val="20"/>
          <w:szCs w:val="20"/>
        </w:rPr>
        <w:t xml:space="preserve">Destacamos que la alícuota a aplicar en estos casos, será informada por la API a partir de octubre, </w:t>
      </w:r>
      <w:proofErr w:type="gramStart"/>
      <w:r w:rsidRPr="002C07F5">
        <w:rPr>
          <w:rFonts w:ascii="Arial" w:hAnsi="Arial" w:cs="Arial"/>
          <w:sz w:val="20"/>
          <w:szCs w:val="20"/>
        </w:rPr>
        <w:t>de acuerdo a</w:t>
      </w:r>
      <w:proofErr w:type="gramEnd"/>
      <w:r w:rsidRPr="002C07F5">
        <w:rPr>
          <w:rFonts w:ascii="Arial" w:hAnsi="Arial" w:cs="Arial"/>
          <w:sz w:val="20"/>
          <w:szCs w:val="20"/>
        </w:rPr>
        <w:t xml:space="preserve"> cada tipo de sujeto según el padrón de prestadores no residentes. En los casos que no se contará con dicha información, el agente deberá aplicar la alícuota del 3%.</w:t>
      </w:r>
    </w:p>
    <w:p w14:paraId="27DBE0D3" w14:textId="1FC8CBAB" w:rsidR="0093135E" w:rsidRPr="004F1BBF" w:rsidRDefault="0093135E" w:rsidP="0093135E">
      <w:pPr>
        <w:pStyle w:val="ListParagraph"/>
        <w:numPr>
          <w:ilvl w:val="0"/>
          <w:numId w:val="4"/>
        </w:numPr>
        <w:spacing w:line="360" w:lineRule="atLeast"/>
        <w:jc w:val="both"/>
        <w:rPr>
          <w:rFonts w:ascii="Arial" w:hAnsi="Arial" w:cs="Arial"/>
          <w:b/>
          <w:bCs/>
          <w:sz w:val="20"/>
          <w:szCs w:val="20"/>
        </w:rPr>
      </w:pPr>
      <w:r w:rsidRPr="004F1BBF">
        <w:rPr>
          <w:rFonts w:ascii="Arial" w:hAnsi="Arial" w:cs="Arial"/>
          <w:b/>
          <w:bCs/>
          <w:sz w:val="20"/>
          <w:szCs w:val="20"/>
        </w:rPr>
        <w:t>ENTRE RIOS. RESOLUCIÓN (ATER E. Ríos) 289/2025Entre Ríos adecua los requisitos y plazo de vigencia para los certificados de libre deuda para proveedores y contratistas del Estado</w:t>
      </w:r>
    </w:p>
    <w:p w14:paraId="1BB8E0A2" w14:textId="52A75C21" w:rsidR="002C07F5" w:rsidRDefault="0093135E" w:rsidP="0093135E">
      <w:pPr>
        <w:spacing w:line="360" w:lineRule="atLeast"/>
        <w:jc w:val="both"/>
        <w:rPr>
          <w:rFonts w:ascii="Arial" w:hAnsi="Arial" w:cs="Arial"/>
          <w:sz w:val="20"/>
          <w:szCs w:val="20"/>
        </w:rPr>
      </w:pPr>
      <w:r w:rsidRPr="0093135E">
        <w:rPr>
          <w:rFonts w:ascii="Arial" w:hAnsi="Arial" w:cs="Arial"/>
          <w:sz w:val="20"/>
          <w:szCs w:val="20"/>
        </w:rPr>
        <w:t>La ATER unifica y actualiza los requisitos para la emisión del Certificado de Libre Deuda, exigido a proveedores, contratistas y cesionarios de créditos frente al Estado Provincial, Municipal y sus entes.</w:t>
      </w:r>
    </w:p>
    <w:p w14:paraId="3AE06AB2" w14:textId="2F57EE1B" w:rsidR="0093135E" w:rsidRDefault="0093135E" w:rsidP="0093135E">
      <w:pPr>
        <w:spacing w:line="360" w:lineRule="atLeast"/>
        <w:jc w:val="both"/>
        <w:rPr>
          <w:rFonts w:ascii="Arial" w:hAnsi="Arial" w:cs="Arial"/>
          <w:sz w:val="20"/>
          <w:szCs w:val="20"/>
        </w:rPr>
      </w:pPr>
      <w:r w:rsidRPr="0093135E">
        <w:rPr>
          <w:rFonts w:ascii="Arial" w:hAnsi="Arial" w:cs="Arial"/>
          <w:sz w:val="20"/>
          <w:szCs w:val="20"/>
        </w:rPr>
        <w:t>Además, se establece un nuevo plazo de vigencia de 60 días corridos y se mantiene el monto mínimo de $10.000 a partir del cual corresponde su exigencia</w:t>
      </w:r>
      <w:r>
        <w:rPr>
          <w:rFonts w:ascii="Arial" w:hAnsi="Arial" w:cs="Arial"/>
          <w:sz w:val="20"/>
          <w:szCs w:val="20"/>
        </w:rPr>
        <w:t>.</w:t>
      </w:r>
    </w:p>
    <w:p w14:paraId="4E267D8F" w14:textId="77777777" w:rsidR="0093135E" w:rsidRPr="0093135E" w:rsidRDefault="0093135E" w:rsidP="0093135E">
      <w:pPr>
        <w:spacing w:line="360" w:lineRule="atLeast"/>
        <w:jc w:val="both"/>
        <w:rPr>
          <w:rFonts w:ascii="Arial" w:hAnsi="Arial" w:cs="Arial"/>
          <w:sz w:val="20"/>
          <w:szCs w:val="20"/>
        </w:rPr>
      </w:pPr>
      <w:r w:rsidRPr="0093135E">
        <w:rPr>
          <w:rFonts w:ascii="Arial" w:hAnsi="Arial" w:cs="Arial"/>
          <w:sz w:val="20"/>
          <w:szCs w:val="20"/>
        </w:rPr>
        <w:t>La Ciudad de Buenos Aires se incorpora al sistema SIRCIP</w:t>
      </w:r>
    </w:p>
    <w:p w14:paraId="19FCE0C7" w14:textId="1FD71BCF" w:rsidR="0093135E" w:rsidRPr="0093135E" w:rsidRDefault="0093135E" w:rsidP="00185A74">
      <w:pPr>
        <w:pStyle w:val="ListParagraph"/>
        <w:numPr>
          <w:ilvl w:val="0"/>
          <w:numId w:val="4"/>
        </w:numPr>
        <w:spacing w:line="360" w:lineRule="atLeast"/>
        <w:jc w:val="both"/>
        <w:rPr>
          <w:rFonts w:ascii="Arial" w:hAnsi="Arial" w:cs="Arial"/>
          <w:b/>
          <w:bCs/>
          <w:sz w:val="20"/>
          <w:szCs w:val="20"/>
        </w:rPr>
      </w:pPr>
      <w:r w:rsidRPr="0093135E">
        <w:rPr>
          <w:rFonts w:ascii="Arial" w:hAnsi="Arial" w:cs="Arial"/>
          <w:b/>
          <w:bCs/>
          <w:sz w:val="20"/>
          <w:szCs w:val="20"/>
        </w:rPr>
        <w:t xml:space="preserve">CABA. RESOLUCIÓN (AGIP Bs. As. </w:t>
      </w:r>
      <w:proofErr w:type="spellStart"/>
      <w:r w:rsidRPr="0093135E">
        <w:rPr>
          <w:rFonts w:ascii="Arial" w:hAnsi="Arial" w:cs="Arial"/>
          <w:b/>
          <w:bCs/>
          <w:sz w:val="20"/>
          <w:szCs w:val="20"/>
        </w:rPr>
        <w:t>cdad.</w:t>
      </w:r>
      <w:proofErr w:type="spellEnd"/>
      <w:r w:rsidRPr="0093135E">
        <w:rPr>
          <w:rFonts w:ascii="Arial" w:hAnsi="Arial" w:cs="Arial"/>
          <w:b/>
          <w:bCs/>
          <w:sz w:val="20"/>
          <w:szCs w:val="20"/>
        </w:rPr>
        <w:t>) 299/2025. La Ciudad adhiere al Sistema Informático de Recaudación, Control e Información sobre Percepciones del Impuesto sobre los Ingresos Brutos “SIRCIP”.</w:t>
      </w:r>
    </w:p>
    <w:p w14:paraId="163E3812" w14:textId="1547ED1D" w:rsidR="0093135E" w:rsidRDefault="0093135E" w:rsidP="0093135E">
      <w:pPr>
        <w:spacing w:line="360" w:lineRule="atLeast"/>
        <w:jc w:val="both"/>
        <w:rPr>
          <w:rFonts w:ascii="Arial" w:hAnsi="Arial" w:cs="Arial"/>
          <w:sz w:val="20"/>
          <w:szCs w:val="20"/>
        </w:rPr>
      </w:pPr>
      <w:r w:rsidRPr="0093135E">
        <w:rPr>
          <w:rFonts w:ascii="Arial" w:hAnsi="Arial" w:cs="Arial"/>
          <w:sz w:val="20"/>
          <w:szCs w:val="20"/>
        </w:rPr>
        <w:t>Destacamos que resultará aplicable a partir de que se halle operativo en el ámbito de la Administración Gubernamental de Ingresos Públicos.</w:t>
      </w:r>
    </w:p>
    <w:p w14:paraId="209D66AB" w14:textId="068A0B64" w:rsidR="00380760" w:rsidRPr="00380760" w:rsidRDefault="00380760" w:rsidP="00380760">
      <w:pPr>
        <w:pStyle w:val="ListParagraph"/>
        <w:numPr>
          <w:ilvl w:val="0"/>
          <w:numId w:val="4"/>
        </w:numPr>
        <w:spacing w:line="360" w:lineRule="atLeast"/>
        <w:jc w:val="both"/>
        <w:rPr>
          <w:rFonts w:ascii="Arial" w:hAnsi="Arial" w:cs="Arial"/>
          <w:b/>
          <w:bCs/>
          <w:sz w:val="20"/>
          <w:szCs w:val="20"/>
        </w:rPr>
      </w:pPr>
      <w:r w:rsidRPr="00380760">
        <w:rPr>
          <w:rFonts w:ascii="Arial" w:hAnsi="Arial" w:cs="Arial"/>
          <w:b/>
          <w:bCs/>
          <w:sz w:val="20"/>
          <w:szCs w:val="20"/>
        </w:rPr>
        <w:t>SALTA. LEY (Salta) 8496. Salta impulsa beneficios fiscales y actualiza su normativa tributaria</w:t>
      </w:r>
    </w:p>
    <w:p w14:paraId="16416E59" w14:textId="77777777" w:rsidR="00380760" w:rsidRPr="00380760" w:rsidRDefault="00380760" w:rsidP="00380760">
      <w:pPr>
        <w:spacing w:line="360" w:lineRule="atLeast"/>
        <w:jc w:val="both"/>
        <w:rPr>
          <w:rFonts w:ascii="Arial" w:hAnsi="Arial" w:cs="Arial"/>
          <w:sz w:val="20"/>
          <w:szCs w:val="20"/>
        </w:rPr>
      </w:pPr>
      <w:r w:rsidRPr="00380760">
        <w:rPr>
          <w:rFonts w:ascii="Arial" w:hAnsi="Arial" w:cs="Arial"/>
          <w:sz w:val="20"/>
          <w:szCs w:val="20"/>
        </w:rPr>
        <w:t>La provincia implementa un régimen de alivio fiscal para el comercio mayorista, minorista, reparaciones, hoteles y restaurantes.</w:t>
      </w:r>
    </w:p>
    <w:p w14:paraId="6EFA3DAD" w14:textId="6732FA30" w:rsidR="0093135E" w:rsidRDefault="00380760" w:rsidP="00380760">
      <w:pPr>
        <w:spacing w:line="360" w:lineRule="atLeast"/>
        <w:jc w:val="both"/>
        <w:rPr>
          <w:rFonts w:ascii="Arial" w:hAnsi="Arial" w:cs="Arial"/>
          <w:sz w:val="20"/>
          <w:szCs w:val="20"/>
        </w:rPr>
      </w:pPr>
      <w:r w:rsidRPr="00380760">
        <w:rPr>
          <w:rFonts w:ascii="Arial" w:hAnsi="Arial" w:cs="Arial"/>
          <w:sz w:val="20"/>
          <w:szCs w:val="20"/>
        </w:rPr>
        <w:t>Además, establece modificaciones al Código Fiscal y efectúa adecuaciones a la ley impositiva.</w:t>
      </w:r>
    </w:p>
    <w:p w14:paraId="28026417" w14:textId="77777777" w:rsidR="00380760" w:rsidRPr="00380760" w:rsidRDefault="00380760" w:rsidP="00380760">
      <w:pPr>
        <w:spacing w:line="360" w:lineRule="atLeast"/>
        <w:jc w:val="both"/>
        <w:rPr>
          <w:rFonts w:ascii="Arial" w:hAnsi="Arial" w:cs="Arial"/>
          <w:sz w:val="20"/>
          <w:szCs w:val="20"/>
        </w:rPr>
      </w:pPr>
      <w:r w:rsidRPr="00380760">
        <w:rPr>
          <w:rFonts w:ascii="Arial" w:hAnsi="Arial" w:cs="Arial"/>
          <w:sz w:val="20"/>
          <w:szCs w:val="20"/>
        </w:rPr>
        <w:t>*Régimen promocional para determinadas actividades:</w:t>
      </w:r>
    </w:p>
    <w:p w14:paraId="7EC69002" w14:textId="77777777" w:rsidR="00380760" w:rsidRPr="00380760" w:rsidRDefault="00380760" w:rsidP="00380760">
      <w:pPr>
        <w:spacing w:line="360" w:lineRule="atLeast"/>
        <w:jc w:val="both"/>
        <w:rPr>
          <w:rFonts w:ascii="Arial" w:hAnsi="Arial" w:cs="Arial"/>
          <w:sz w:val="20"/>
          <w:szCs w:val="20"/>
        </w:rPr>
      </w:pPr>
      <w:r w:rsidRPr="00380760">
        <w:rPr>
          <w:rFonts w:ascii="Arial" w:hAnsi="Arial" w:cs="Arial"/>
          <w:sz w:val="20"/>
          <w:szCs w:val="20"/>
        </w:rPr>
        <w:lastRenderedPageBreak/>
        <w:t>-Reduce un 20% sobre las alícuotas vigentes para comercio mayorista, minorista, reparaciones, hoteles y restaurantes.</w:t>
      </w:r>
    </w:p>
    <w:p w14:paraId="228F8BC6" w14:textId="77777777" w:rsidR="00380760" w:rsidRPr="00380760" w:rsidRDefault="00380760" w:rsidP="00380760">
      <w:pPr>
        <w:spacing w:line="360" w:lineRule="atLeast"/>
        <w:jc w:val="both"/>
        <w:rPr>
          <w:rFonts w:ascii="Arial" w:hAnsi="Arial" w:cs="Arial"/>
          <w:sz w:val="20"/>
          <w:szCs w:val="20"/>
        </w:rPr>
      </w:pPr>
      <w:r w:rsidRPr="00380760">
        <w:rPr>
          <w:rFonts w:ascii="Arial" w:hAnsi="Arial" w:cs="Arial"/>
          <w:sz w:val="20"/>
          <w:szCs w:val="20"/>
        </w:rPr>
        <w:t>-Para acceder a este beneficio, los contribuyentes del Régimen General deben haber declarado una Base Imponible que no exceda 8.250.000 Unidades Tributarias para el período fiscal 2024 y registrar calificación de conducta fiscal "Sin Riesgo" a partir del 1° de enero de 2026.</w:t>
      </w:r>
    </w:p>
    <w:p w14:paraId="77F1E5E5" w14:textId="77777777" w:rsidR="00380760" w:rsidRPr="00380760" w:rsidRDefault="00380760" w:rsidP="00380760">
      <w:pPr>
        <w:spacing w:line="360" w:lineRule="atLeast"/>
        <w:jc w:val="both"/>
        <w:rPr>
          <w:rFonts w:ascii="Arial" w:hAnsi="Arial" w:cs="Arial"/>
          <w:sz w:val="20"/>
          <w:szCs w:val="20"/>
        </w:rPr>
      </w:pPr>
      <w:r w:rsidRPr="00380760">
        <w:rPr>
          <w:rFonts w:ascii="Arial" w:hAnsi="Arial" w:cs="Arial"/>
          <w:sz w:val="20"/>
          <w:szCs w:val="20"/>
        </w:rPr>
        <w:t>-Los contribuyentes del Régimen Simplificado que adhieran al débito automático para el cobro mensual (enero a noviembre) quedarán exentos del pago fijo de diciembre.</w:t>
      </w:r>
    </w:p>
    <w:p w14:paraId="160D8086" w14:textId="77777777" w:rsidR="00380760" w:rsidRPr="00380760" w:rsidRDefault="00380760" w:rsidP="00380760">
      <w:pPr>
        <w:spacing w:line="360" w:lineRule="atLeast"/>
        <w:jc w:val="both"/>
        <w:rPr>
          <w:rFonts w:ascii="Arial" w:hAnsi="Arial" w:cs="Arial"/>
          <w:sz w:val="20"/>
          <w:szCs w:val="20"/>
        </w:rPr>
      </w:pPr>
    </w:p>
    <w:p w14:paraId="1F0851C0" w14:textId="77777777" w:rsidR="00380760" w:rsidRPr="00380760" w:rsidRDefault="00380760" w:rsidP="00380760">
      <w:pPr>
        <w:spacing w:line="360" w:lineRule="atLeast"/>
        <w:jc w:val="both"/>
        <w:rPr>
          <w:rFonts w:ascii="Arial" w:hAnsi="Arial" w:cs="Arial"/>
          <w:sz w:val="20"/>
          <w:szCs w:val="20"/>
        </w:rPr>
      </w:pPr>
      <w:r w:rsidRPr="00380760">
        <w:rPr>
          <w:rFonts w:ascii="Arial" w:hAnsi="Arial" w:cs="Arial"/>
          <w:sz w:val="20"/>
          <w:szCs w:val="20"/>
        </w:rPr>
        <w:t>*Modificaciones al Código Fiscal</w:t>
      </w:r>
    </w:p>
    <w:p w14:paraId="1D34E7A7" w14:textId="77777777" w:rsidR="00380760" w:rsidRPr="00380760" w:rsidRDefault="00380760" w:rsidP="00380760">
      <w:pPr>
        <w:spacing w:line="360" w:lineRule="atLeast"/>
        <w:jc w:val="both"/>
        <w:rPr>
          <w:rFonts w:ascii="Arial" w:hAnsi="Arial" w:cs="Arial"/>
          <w:sz w:val="20"/>
          <w:szCs w:val="20"/>
        </w:rPr>
      </w:pPr>
      <w:r w:rsidRPr="00380760">
        <w:rPr>
          <w:rFonts w:ascii="Arial" w:hAnsi="Arial" w:cs="Arial"/>
          <w:sz w:val="20"/>
          <w:szCs w:val="20"/>
        </w:rPr>
        <w:t>-Se establece que el valor de la Unidad Tributaria (UT) se ajustará periódicamente</w:t>
      </w:r>
    </w:p>
    <w:p w14:paraId="11A7AE4A" w14:textId="77777777" w:rsidR="00380760" w:rsidRPr="00380760" w:rsidRDefault="00380760" w:rsidP="00380760">
      <w:pPr>
        <w:spacing w:line="360" w:lineRule="atLeast"/>
        <w:jc w:val="both"/>
        <w:rPr>
          <w:rFonts w:ascii="Arial" w:hAnsi="Arial" w:cs="Arial"/>
          <w:sz w:val="20"/>
          <w:szCs w:val="20"/>
        </w:rPr>
      </w:pPr>
      <w:r w:rsidRPr="00380760">
        <w:rPr>
          <w:rFonts w:ascii="Arial" w:hAnsi="Arial" w:cs="Arial"/>
          <w:sz w:val="20"/>
          <w:szCs w:val="20"/>
        </w:rPr>
        <w:t>-Se ajustan los montos de multa por decomiso</w:t>
      </w:r>
    </w:p>
    <w:p w14:paraId="68D5FE55" w14:textId="77777777" w:rsidR="00380760" w:rsidRPr="00380760" w:rsidRDefault="00380760" w:rsidP="00380760">
      <w:pPr>
        <w:spacing w:line="360" w:lineRule="atLeast"/>
        <w:jc w:val="both"/>
        <w:rPr>
          <w:rFonts w:ascii="Arial" w:hAnsi="Arial" w:cs="Arial"/>
          <w:sz w:val="20"/>
          <w:szCs w:val="20"/>
        </w:rPr>
      </w:pPr>
      <w:r w:rsidRPr="00380760">
        <w:rPr>
          <w:rFonts w:ascii="Arial" w:hAnsi="Arial" w:cs="Arial"/>
          <w:sz w:val="20"/>
          <w:szCs w:val="20"/>
        </w:rPr>
        <w:t>-Se actualiza la exención para agencias de viajes</w:t>
      </w:r>
    </w:p>
    <w:p w14:paraId="748AFE95" w14:textId="77777777" w:rsidR="00380760" w:rsidRPr="00380760" w:rsidRDefault="00380760" w:rsidP="00380760">
      <w:pPr>
        <w:spacing w:line="360" w:lineRule="atLeast"/>
        <w:jc w:val="both"/>
        <w:rPr>
          <w:rFonts w:ascii="Arial" w:hAnsi="Arial" w:cs="Arial"/>
          <w:sz w:val="20"/>
          <w:szCs w:val="20"/>
        </w:rPr>
      </w:pPr>
      <w:r w:rsidRPr="00380760">
        <w:rPr>
          <w:rFonts w:ascii="Arial" w:hAnsi="Arial" w:cs="Arial"/>
          <w:sz w:val="20"/>
          <w:szCs w:val="20"/>
        </w:rPr>
        <w:t>-Se deroga el capítulo de Actuaciones Administrativas del Código Fiscal</w:t>
      </w:r>
    </w:p>
    <w:p w14:paraId="13559610" w14:textId="77777777" w:rsidR="00380760" w:rsidRPr="00380760" w:rsidRDefault="00380760" w:rsidP="00380760">
      <w:pPr>
        <w:spacing w:line="360" w:lineRule="atLeast"/>
        <w:jc w:val="both"/>
        <w:rPr>
          <w:rFonts w:ascii="Arial" w:hAnsi="Arial" w:cs="Arial"/>
          <w:sz w:val="20"/>
          <w:szCs w:val="20"/>
        </w:rPr>
      </w:pPr>
      <w:r w:rsidRPr="00380760">
        <w:rPr>
          <w:rFonts w:ascii="Arial" w:hAnsi="Arial" w:cs="Arial"/>
          <w:sz w:val="20"/>
          <w:szCs w:val="20"/>
        </w:rPr>
        <w:t xml:space="preserve">-Se deroga del Código fiscal el impuesto a los productos forestales, impuesto a la </w:t>
      </w:r>
      <w:proofErr w:type="spellStart"/>
      <w:r w:rsidRPr="00380760">
        <w:rPr>
          <w:rFonts w:ascii="Arial" w:hAnsi="Arial" w:cs="Arial"/>
          <w:sz w:val="20"/>
          <w:szCs w:val="20"/>
        </w:rPr>
        <w:t>loteria</w:t>
      </w:r>
      <w:proofErr w:type="spellEnd"/>
      <w:r w:rsidRPr="00380760">
        <w:rPr>
          <w:rFonts w:ascii="Arial" w:hAnsi="Arial" w:cs="Arial"/>
          <w:sz w:val="20"/>
          <w:szCs w:val="20"/>
        </w:rPr>
        <w:t>, Impuesto a los Combustibles Derivados del Petróleo, Impuesto al Cemento Portland, Impuesto por la Venta de Boletos de Carreras de Caballos, entre otros.</w:t>
      </w:r>
    </w:p>
    <w:p w14:paraId="556AA812" w14:textId="77777777" w:rsidR="00380760" w:rsidRPr="00380760" w:rsidRDefault="00380760" w:rsidP="00380760">
      <w:pPr>
        <w:spacing w:line="360" w:lineRule="atLeast"/>
        <w:jc w:val="both"/>
        <w:rPr>
          <w:rFonts w:ascii="Arial" w:hAnsi="Arial" w:cs="Arial"/>
          <w:sz w:val="20"/>
          <w:szCs w:val="20"/>
        </w:rPr>
      </w:pPr>
    </w:p>
    <w:p w14:paraId="77BEA695" w14:textId="77777777" w:rsidR="00380760" w:rsidRPr="00380760" w:rsidRDefault="00380760" w:rsidP="00380760">
      <w:pPr>
        <w:spacing w:line="360" w:lineRule="atLeast"/>
        <w:jc w:val="both"/>
        <w:rPr>
          <w:rFonts w:ascii="Arial" w:hAnsi="Arial" w:cs="Arial"/>
          <w:sz w:val="20"/>
          <w:szCs w:val="20"/>
        </w:rPr>
      </w:pPr>
      <w:r w:rsidRPr="00380760">
        <w:rPr>
          <w:rFonts w:ascii="Arial" w:hAnsi="Arial" w:cs="Arial"/>
          <w:sz w:val="20"/>
          <w:szCs w:val="20"/>
        </w:rPr>
        <w:t>*Adecuaciones a la ley impositiva</w:t>
      </w:r>
    </w:p>
    <w:p w14:paraId="68099F7B" w14:textId="77777777" w:rsidR="00380760" w:rsidRPr="00380760" w:rsidRDefault="00380760" w:rsidP="00380760">
      <w:pPr>
        <w:spacing w:line="360" w:lineRule="atLeast"/>
        <w:jc w:val="both"/>
        <w:rPr>
          <w:rFonts w:ascii="Arial" w:hAnsi="Arial" w:cs="Arial"/>
          <w:sz w:val="20"/>
          <w:szCs w:val="20"/>
        </w:rPr>
      </w:pPr>
      <w:r w:rsidRPr="00380760">
        <w:rPr>
          <w:rFonts w:ascii="Arial" w:hAnsi="Arial" w:cs="Arial"/>
          <w:sz w:val="20"/>
          <w:szCs w:val="20"/>
        </w:rPr>
        <w:t>-Se exime del Impuesto a las Actividades Económicas a las agencias de viajes por los períodos 2024 y 2025</w:t>
      </w:r>
    </w:p>
    <w:p w14:paraId="54382D8A" w14:textId="77777777" w:rsidR="00380760" w:rsidRPr="00380760" w:rsidRDefault="00380760" w:rsidP="00380760">
      <w:pPr>
        <w:spacing w:line="360" w:lineRule="atLeast"/>
        <w:jc w:val="both"/>
        <w:rPr>
          <w:rFonts w:ascii="Arial" w:hAnsi="Arial" w:cs="Arial"/>
          <w:sz w:val="20"/>
          <w:szCs w:val="20"/>
        </w:rPr>
      </w:pPr>
      <w:r w:rsidRPr="00380760">
        <w:rPr>
          <w:rFonts w:ascii="Arial" w:hAnsi="Arial" w:cs="Arial"/>
          <w:sz w:val="20"/>
          <w:szCs w:val="20"/>
        </w:rPr>
        <w:t>-Se modifica la alícuota del impuesto de sellos para seguros de caución que pagarán un impuesto del doce por mil (12%o)</w:t>
      </w:r>
    </w:p>
    <w:p w14:paraId="39C7F36B" w14:textId="0A37EAA4" w:rsidR="00380760" w:rsidRDefault="00380760" w:rsidP="00380760">
      <w:pPr>
        <w:spacing w:line="360" w:lineRule="atLeast"/>
        <w:jc w:val="both"/>
        <w:rPr>
          <w:rFonts w:ascii="Arial" w:hAnsi="Arial" w:cs="Arial"/>
          <w:sz w:val="20"/>
          <w:szCs w:val="20"/>
        </w:rPr>
      </w:pPr>
      <w:r w:rsidRPr="00380760">
        <w:rPr>
          <w:rFonts w:ascii="Arial" w:hAnsi="Arial" w:cs="Arial"/>
          <w:sz w:val="20"/>
          <w:szCs w:val="20"/>
        </w:rPr>
        <w:t xml:space="preserve">-Se elimina el sellado de actuación ante los organismos y dependencias de la Administración Pública de una unidad tributaria (1 UT) por foja, del mismo modo que se eliminó en el Código Fiscal el </w:t>
      </w:r>
      <w:proofErr w:type="spellStart"/>
      <w:r w:rsidRPr="00380760">
        <w:rPr>
          <w:rFonts w:ascii="Arial" w:hAnsi="Arial" w:cs="Arial"/>
          <w:sz w:val="20"/>
          <w:szCs w:val="20"/>
        </w:rPr>
        <w:t>capitulo</w:t>
      </w:r>
      <w:proofErr w:type="spellEnd"/>
      <w:r w:rsidRPr="00380760">
        <w:rPr>
          <w:rFonts w:ascii="Arial" w:hAnsi="Arial" w:cs="Arial"/>
          <w:sz w:val="20"/>
          <w:szCs w:val="20"/>
        </w:rPr>
        <w:t xml:space="preserve"> de sellado por Actuaciones Administrativas.</w:t>
      </w:r>
    </w:p>
    <w:p w14:paraId="4FC044AF" w14:textId="6EF6E1C9" w:rsidR="00380760" w:rsidRPr="00380760" w:rsidRDefault="00380760" w:rsidP="00380760">
      <w:pPr>
        <w:spacing w:line="360" w:lineRule="atLeast"/>
        <w:jc w:val="both"/>
        <w:rPr>
          <w:rFonts w:ascii="Arial" w:hAnsi="Arial" w:cs="Arial"/>
          <w:b/>
          <w:bCs/>
          <w:sz w:val="20"/>
          <w:szCs w:val="20"/>
        </w:rPr>
      </w:pPr>
      <w:r w:rsidRPr="00380760">
        <w:rPr>
          <w:rFonts w:ascii="Arial" w:hAnsi="Arial" w:cs="Arial"/>
          <w:b/>
          <w:bCs/>
          <w:sz w:val="20"/>
          <w:szCs w:val="20"/>
        </w:rPr>
        <w:t>2</w:t>
      </w:r>
      <w:r w:rsidR="004F1BBF">
        <w:rPr>
          <w:rFonts w:ascii="Arial" w:hAnsi="Arial" w:cs="Arial"/>
          <w:b/>
          <w:bCs/>
          <w:sz w:val="20"/>
          <w:szCs w:val="20"/>
        </w:rPr>
        <w:t>2</w:t>
      </w:r>
      <w:r w:rsidRPr="00380760">
        <w:rPr>
          <w:rFonts w:ascii="Arial" w:hAnsi="Arial" w:cs="Arial"/>
          <w:b/>
          <w:bCs/>
          <w:sz w:val="20"/>
          <w:szCs w:val="20"/>
        </w:rPr>
        <w:t>. SANTIAGO DEL ESTERO. DECRETO (</w:t>
      </w:r>
      <w:proofErr w:type="spellStart"/>
      <w:r w:rsidRPr="00380760">
        <w:rPr>
          <w:rFonts w:ascii="Arial" w:hAnsi="Arial" w:cs="Arial"/>
          <w:b/>
          <w:bCs/>
          <w:sz w:val="20"/>
          <w:szCs w:val="20"/>
        </w:rPr>
        <w:t>Sgo</w:t>
      </w:r>
      <w:proofErr w:type="spellEnd"/>
      <w:r w:rsidRPr="00380760">
        <w:rPr>
          <w:rFonts w:ascii="Arial" w:hAnsi="Arial" w:cs="Arial"/>
          <w:b/>
          <w:bCs/>
          <w:sz w:val="20"/>
          <w:szCs w:val="20"/>
        </w:rPr>
        <w:t>. del Estero) 1227/2025. Santiago del Estero suspende temporalmente el pago de ingresos brutos para actividades agropecuarias</w:t>
      </w:r>
    </w:p>
    <w:p w14:paraId="3E23AF95" w14:textId="12A00FCB" w:rsidR="00380760" w:rsidRPr="00380760" w:rsidRDefault="00380760" w:rsidP="00380760">
      <w:pPr>
        <w:spacing w:line="360" w:lineRule="atLeast"/>
        <w:jc w:val="both"/>
        <w:rPr>
          <w:rFonts w:ascii="Arial" w:hAnsi="Arial" w:cs="Arial"/>
          <w:b/>
          <w:bCs/>
          <w:sz w:val="20"/>
          <w:szCs w:val="20"/>
        </w:rPr>
      </w:pPr>
      <w:r w:rsidRPr="00380760">
        <w:rPr>
          <w:rFonts w:ascii="Arial" w:hAnsi="Arial" w:cs="Arial"/>
          <w:sz w:val="20"/>
          <w:szCs w:val="20"/>
        </w:rPr>
        <w:t>Se suspende la obligación del pago del impuesto sobre los ingresos brutos para las actividades comprendidas en el rubro actividad primaria de tipo agropecuario de Santiago del Estero, por el período 1° de julio al 31 de diciembre de 2025, en atención a la emergencia derivada de la sequía y la baja de precios.</w:t>
      </w:r>
    </w:p>
    <w:p w14:paraId="08E05488" w14:textId="1FDBEFAF" w:rsidR="00380760" w:rsidRPr="004F1BBF" w:rsidRDefault="00380760" w:rsidP="004F1BBF">
      <w:pPr>
        <w:pStyle w:val="ListParagraph"/>
        <w:numPr>
          <w:ilvl w:val="0"/>
          <w:numId w:val="15"/>
        </w:numPr>
        <w:spacing w:line="360" w:lineRule="atLeast"/>
        <w:jc w:val="both"/>
        <w:rPr>
          <w:rFonts w:ascii="Arial" w:hAnsi="Arial" w:cs="Arial"/>
          <w:b/>
          <w:bCs/>
          <w:sz w:val="20"/>
          <w:szCs w:val="20"/>
        </w:rPr>
      </w:pPr>
      <w:r w:rsidRPr="004F1BBF">
        <w:rPr>
          <w:rFonts w:ascii="Arial" w:hAnsi="Arial" w:cs="Arial"/>
          <w:b/>
          <w:bCs/>
          <w:sz w:val="20"/>
          <w:szCs w:val="20"/>
        </w:rPr>
        <w:lastRenderedPageBreak/>
        <w:t>RIO NEGRO. DECRETO (Río Negro) 528/2025. Río Negro reglamenta el régimen de promoción para empresas radicadas en el Parque Industrial de Viedma.</w:t>
      </w:r>
    </w:p>
    <w:p w14:paraId="45A8B5FF" w14:textId="1FE6B812" w:rsidR="00380760" w:rsidRPr="00380760" w:rsidRDefault="00380760" w:rsidP="00380760">
      <w:pPr>
        <w:spacing w:line="360" w:lineRule="atLeast"/>
        <w:jc w:val="both"/>
        <w:rPr>
          <w:rFonts w:ascii="Arial" w:hAnsi="Arial" w:cs="Arial"/>
          <w:sz w:val="20"/>
          <w:szCs w:val="20"/>
        </w:rPr>
      </w:pPr>
      <w:r w:rsidRPr="00380760">
        <w:rPr>
          <w:rFonts w:ascii="Arial" w:hAnsi="Arial" w:cs="Arial"/>
          <w:sz w:val="20"/>
          <w:szCs w:val="20"/>
        </w:rPr>
        <w:t>Se reglamenta el Régimen diferenciado para empresas que se radiquen en el Parque Industrial de la ciudad de Viedma, definiendo los aspectos operativos y administrativos que deben cumplir los interesados en acceder a las exenciones en los impuestos sobre los ingresos brutos y de sellos por un plazo de 10 años.</w:t>
      </w:r>
    </w:p>
    <w:p w14:paraId="3D5612F2" w14:textId="77777777" w:rsidR="00D416D0" w:rsidRPr="00D416D0" w:rsidRDefault="00D416D0" w:rsidP="00F51DCA">
      <w:pPr>
        <w:pStyle w:val="ListParagraph"/>
        <w:spacing w:line="360" w:lineRule="atLeast"/>
        <w:jc w:val="both"/>
        <w:rPr>
          <w:rFonts w:ascii="Arial" w:hAnsi="Arial" w:cs="Arial"/>
          <w:sz w:val="20"/>
          <w:szCs w:val="20"/>
        </w:rPr>
      </w:pPr>
    </w:p>
    <w:sectPr w:rsidR="00D416D0" w:rsidRPr="00D416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32C92"/>
    <w:multiLevelType w:val="multilevel"/>
    <w:tmpl w:val="422C2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3331E0"/>
    <w:multiLevelType w:val="multilevel"/>
    <w:tmpl w:val="1D269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A20D98"/>
    <w:multiLevelType w:val="multilevel"/>
    <w:tmpl w:val="53125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FB4D88"/>
    <w:multiLevelType w:val="multilevel"/>
    <w:tmpl w:val="31E80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FE385B"/>
    <w:multiLevelType w:val="multilevel"/>
    <w:tmpl w:val="5914F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1F041B"/>
    <w:multiLevelType w:val="multilevel"/>
    <w:tmpl w:val="611E2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526CEE"/>
    <w:multiLevelType w:val="hybridMultilevel"/>
    <w:tmpl w:val="D0749816"/>
    <w:lvl w:ilvl="0" w:tplc="2C0A000F">
      <w:start w:val="23"/>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3E2F4F54"/>
    <w:multiLevelType w:val="multilevel"/>
    <w:tmpl w:val="30081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0F1E59"/>
    <w:multiLevelType w:val="multilevel"/>
    <w:tmpl w:val="F34C5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DE684A"/>
    <w:multiLevelType w:val="hybridMultilevel"/>
    <w:tmpl w:val="1D24348A"/>
    <w:lvl w:ilvl="0" w:tplc="D0E0A70C">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63C82A6A"/>
    <w:multiLevelType w:val="hybridMultilevel"/>
    <w:tmpl w:val="7556ED82"/>
    <w:lvl w:ilvl="0" w:tplc="E1169020">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1" w15:restartNumberingAfterBreak="0">
    <w:nsid w:val="659E18E0"/>
    <w:multiLevelType w:val="multilevel"/>
    <w:tmpl w:val="213C6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67A245D"/>
    <w:multiLevelType w:val="hybridMultilevel"/>
    <w:tmpl w:val="11EC1000"/>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75470009"/>
    <w:multiLevelType w:val="hybridMultilevel"/>
    <w:tmpl w:val="8A8CA550"/>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15:restartNumberingAfterBreak="0">
    <w:nsid w:val="75470699"/>
    <w:multiLevelType w:val="hybridMultilevel"/>
    <w:tmpl w:val="301271D6"/>
    <w:lvl w:ilvl="0" w:tplc="DACA15A8">
      <w:start w:val="13"/>
      <w:numFmt w:val="bullet"/>
      <w:lvlText w:val=""/>
      <w:lvlJc w:val="left"/>
      <w:pPr>
        <w:ind w:left="720" w:hanging="360"/>
      </w:pPr>
      <w:rPr>
        <w:rFonts w:ascii="Symbol" w:eastAsiaTheme="minorHAnsi" w:hAnsi="Symbo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1262688939">
    <w:abstractNumId w:val="13"/>
  </w:num>
  <w:num w:numId="2" w16cid:durableId="1341196821">
    <w:abstractNumId w:val="9"/>
  </w:num>
  <w:num w:numId="3" w16cid:durableId="363334789">
    <w:abstractNumId w:val="12"/>
  </w:num>
  <w:num w:numId="4" w16cid:durableId="1679578035">
    <w:abstractNumId w:val="10"/>
  </w:num>
  <w:num w:numId="5" w16cid:durableId="1755131846">
    <w:abstractNumId w:val="14"/>
  </w:num>
  <w:num w:numId="6" w16cid:durableId="1672835407">
    <w:abstractNumId w:val="2"/>
  </w:num>
  <w:num w:numId="7" w16cid:durableId="244192378">
    <w:abstractNumId w:val="4"/>
  </w:num>
  <w:num w:numId="8" w16cid:durableId="719866729">
    <w:abstractNumId w:val="7"/>
  </w:num>
  <w:num w:numId="9" w16cid:durableId="195437600">
    <w:abstractNumId w:val="8"/>
  </w:num>
  <w:num w:numId="10" w16cid:durableId="1311447339">
    <w:abstractNumId w:val="0"/>
  </w:num>
  <w:num w:numId="11" w16cid:durableId="157967112">
    <w:abstractNumId w:val="5"/>
  </w:num>
  <w:num w:numId="12" w16cid:durableId="22680531">
    <w:abstractNumId w:val="11"/>
  </w:num>
  <w:num w:numId="13" w16cid:durableId="10451365">
    <w:abstractNumId w:val="3"/>
  </w:num>
  <w:num w:numId="14" w16cid:durableId="357312929">
    <w:abstractNumId w:val="1"/>
  </w:num>
  <w:num w:numId="15" w16cid:durableId="8159238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41D"/>
    <w:rsid w:val="0001020D"/>
    <w:rsid w:val="00016269"/>
    <w:rsid w:val="000316AC"/>
    <w:rsid w:val="0003235E"/>
    <w:rsid w:val="00045ADC"/>
    <w:rsid w:val="000942BF"/>
    <w:rsid w:val="00094ACD"/>
    <w:rsid w:val="000A7870"/>
    <w:rsid w:val="000B6508"/>
    <w:rsid w:val="000B69E8"/>
    <w:rsid w:val="000D04AA"/>
    <w:rsid w:val="000D211C"/>
    <w:rsid w:val="000E7042"/>
    <w:rsid w:val="00113A7A"/>
    <w:rsid w:val="0012512F"/>
    <w:rsid w:val="001538D8"/>
    <w:rsid w:val="0015554C"/>
    <w:rsid w:val="001561F1"/>
    <w:rsid w:val="001734A0"/>
    <w:rsid w:val="001734BD"/>
    <w:rsid w:val="00191AB1"/>
    <w:rsid w:val="00191C25"/>
    <w:rsid w:val="00196C95"/>
    <w:rsid w:val="001A658E"/>
    <w:rsid w:val="001B3704"/>
    <w:rsid w:val="001B5503"/>
    <w:rsid w:val="001D3EC1"/>
    <w:rsid w:val="001D6F4B"/>
    <w:rsid w:val="001E26F9"/>
    <w:rsid w:val="00214388"/>
    <w:rsid w:val="00215341"/>
    <w:rsid w:val="0023019B"/>
    <w:rsid w:val="002376F6"/>
    <w:rsid w:val="00243693"/>
    <w:rsid w:val="002447B9"/>
    <w:rsid w:val="00246AAB"/>
    <w:rsid w:val="00252892"/>
    <w:rsid w:val="00253ECD"/>
    <w:rsid w:val="00253FED"/>
    <w:rsid w:val="002562BE"/>
    <w:rsid w:val="002619C7"/>
    <w:rsid w:val="00262740"/>
    <w:rsid w:val="00265252"/>
    <w:rsid w:val="00273CB8"/>
    <w:rsid w:val="00277B9B"/>
    <w:rsid w:val="00281A1D"/>
    <w:rsid w:val="00282B86"/>
    <w:rsid w:val="00284216"/>
    <w:rsid w:val="00293010"/>
    <w:rsid w:val="00293866"/>
    <w:rsid w:val="002A5612"/>
    <w:rsid w:val="002A6A59"/>
    <w:rsid w:val="002C0030"/>
    <w:rsid w:val="002C07F5"/>
    <w:rsid w:val="002D6729"/>
    <w:rsid w:val="002D7918"/>
    <w:rsid w:val="002F0BFB"/>
    <w:rsid w:val="00306096"/>
    <w:rsid w:val="00307CD2"/>
    <w:rsid w:val="00322019"/>
    <w:rsid w:val="00324A07"/>
    <w:rsid w:val="00332F05"/>
    <w:rsid w:val="00335D14"/>
    <w:rsid w:val="00343318"/>
    <w:rsid w:val="00344587"/>
    <w:rsid w:val="00352602"/>
    <w:rsid w:val="00353228"/>
    <w:rsid w:val="00354882"/>
    <w:rsid w:val="00365245"/>
    <w:rsid w:val="00366EBB"/>
    <w:rsid w:val="00373B73"/>
    <w:rsid w:val="00380760"/>
    <w:rsid w:val="0039567C"/>
    <w:rsid w:val="00397A04"/>
    <w:rsid w:val="003A1A06"/>
    <w:rsid w:val="003A2AF2"/>
    <w:rsid w:val="003B079E"/>
    <w:rsid w:val="003B1AEA"/>
    <w:rsid w:val="003B372E"/>
    <w:rsid w:val="003B4DD5"/>
    <w:rsid w:val="003D0582"/>
    <w:rsid w:val="004008B4"/>
    <w:rsid w:val="00400BB7"/>
    <w:rsid w:val="00403741"/>
    <w:rsid w:val="0040619A"/>
    <w:rsid w:val="00411090"/>
    <w:rsid w:val="0041362E"/>
    <w:rsid w:val="00436CAF"/>
    <w:rsid w:val="00437F82"/>
    <w:rsid w:val="004422C1"/>
    <w:rsid w:val="00446CCB"/>
    <w:rsid w:val="004506D4"/>
    <w:rsid w:val="00451268"/>
    <w:rsid w:val="0045223A"/>
    <w:rsid w:val="00461674"/>
    <w:rsid w:val="00462CCF"/>
    <w:rsid w:val="00463036"/>
    <w:rsid w:val="0046391C"/>
    <w:rsid w:val="00465F0A"/>
    <w:rsid w:val="004722F5"/>
    <w:rsid w:val="004759D6"/>
    <w:rsid w:val="0047631C"/>
    <w:rsid w:val="00492AD6"/>
    <w:rsid w:val="0049632E"/>
    <w:rsid w:val="004A0516"/>
    <w:rsid w:val="004A6C84"/>
    <w:rsid w:val="004D0F66"/>
    <w:rsid w:val="004D47E0"/>
    <w:rsid w:val="004E372C"/>
    <w:rsid w:val="004E40B7"/>
    <w:rsid w:val="004E62FB"/>
    <w:rsid w:val="004F05C9"/>
    <w:rsid w:val="004F1BBF"/>
    <w:rsid w:val="00500E2A"/>
    <w:rsid w:val="00523828"/>
    <w:rsid w:val="005602B2"/>
    <w:rsid w:val="00573120"/>
    <w:rsid w:val="00580AB0"/>
    <w:rsid w:val="00582F1F"/>
    <w:rsid w:val="0059256A"/>
    <w:rsid w:val="00596CF3"/>
    <w:rsid w:val="005A78D0"/>
    <w:rsid w:val="005B28BD"/>
    <w:rsid w:val="005B54BF"/>
    <w:rsid w:val="005C6697"/>
    <w:rsid w:val="005C6CF1"/>
    <w:rsid w:val="005D39E7"/>
    <w:rsid w:val="005E0A3B"/>
    <w:rsid w:val="005E19ED"/>
    <w:rsid w:val="005E4CD4"/>
    <w:rsid w:val="005F4487"/>
    <w:rsid w:val="00605AD2"/>
    <w:rsid w:val="0061684C"/>
    <w:rsid w:val="0062463E"/>
    <w:rsid w:val="00635C11"/>
    <w:rsid w:val="00651546"/>
    <w:rsid w:val="0065569B"/>
    <w:rsid w:val="006733A9"/>
    <w:rsid w:val="006757B6"/>
    <w:rsid w:val="00684AD4"/>
    <w:rsid w:val="0068532B"/>
    <w:rsid w:val="00685B8E"/>
    <w:rsid w:val="00692B0E"/>
    <w:rsid w:val="006A6636"/>
    <w:rsid w:val="006A736F"/>
    <w:rsid w:val="006A79CA"/>
    <w:rsid w:val="006B4FB8"/>
    <w:rsid w:val="006C1D98"/>
    <w:rsid w:val="006C2879"/>
    <w:rsid w:val="006C378F"/>
    <w:rsid w:val="006C3B35"/>
    <w:rsid w:val="006E2D18"/>
    <w:rsid w:val="006E69CE"/>
    <w:rsid w:val="00701F48"/>
    <w:rsid w:val="0070200D"/>
    <w:rsid w:val="00703BB6"/>
    <w:rsid w:val="0070698E"/>
    <w:rsid w:val="0070784A"/>
    <w:rsid w:val="00713519"/>
    <w:rsid w:val="00717AFD"/>
    <w:rsid w:val="007265CC"/>
    <w:rsid w:val="00726D72"/>
    <w:rsid w:val="0073545C"/>
    <w:rsid w:val="007374D4"/>
    <w:rsid w:val="00745679"/>
    <w:rsid w:val="00763405"/>
    <w:rsid w:val="0077123B"/>
    <w:rsid w:val="00780606"/>
    <w:rsid w:val="007807A9"/>
    <w:rsid w:val="00793C7B"/>
    <w:rsid w:val="007A2FE2"/>
    <w:rsid w:val="007A4A02"/>
    <w:rsid w:val="007B2D5A"/>
    <w:rsid w:val="007C1933"/>
    <w:rsid w:val="007C64D0"/>
    <w:rsid w:val="007D5831"/>
    <w:rsid w:val="007D6EEF"/>
    <w:rsid w:val="007D7ECF"/>
    <w:rsid w:val="007E2B91"/>
    <w:rsid w:val="007E5C6F"/>
    <w:rsid w:val="008050EE"/>
    <w:rsid w:val="00807595"/>
    <w:rsid w:val="00827937"/>
    <w:rsid w:val="00832EFB"/>
    <w:rsid w:val="00833258"/>
    <w:rsid w:val="0083675A"/>
    <w:rsid w:val="00852AA4"/>
    <w:rsid w:val="008553F8"/>
    <w:rsid w:val="0086146D"/>
    <w:rsid w:val="00861DA4"/>
    <w:rsid w:val="00866241"/>
    <w:rsid w:val="00873588"/>
    <w:rsid w:val="0088058F"/>
    <w:rsid w:val="008861AD"/>
    <w:rsid w:val="00886F5D"/>
    <w:rsid w:val="00897662"/>
    <w:rsid w:val="008B2043"/>
    <w:rsid w:val="008B6367"/>
    <w:rsid w:val="008C4FFE"/>
    <w:rsid w:val="008C6A9E"/>
    <w:rsid w:val="008D0FF0"/>
    <w:rsid w:val="008D38D7"/>
    <w:rsid w:val="008D4AFC"/>
    <w:rsid w:val="008F1327"/>
    <w:rsid w:val="008F3031"/>
    <w:rsid w:val="0091040C"/>
    <w:rsid w:val="00914323"/>
    <w:rsid w:val="00925A3C"/>
    <w:rsid w:val="0093135E"/>
    <w:rsid w:val="009361B2"/>
    <w:rsid w:val="00945153"/>
    <w:rsid w:val="00945D65"/>
    <w:rsid w:val="009550D1"/>
    <w:rsid w:val="00967369"/>
    <w:rsid w:val="0097192B"/>
    <w:rsid w:val="0097322D"/>
    <w:rsid w:val="00980181"/>
    <w:rsid w:val="00991A86"/>
    <w:rsid w:val="00994667"/>
    <w:rsid w:val="009A3426"/>
    <w:rsid w:val="009A395B"/>
    <w:rsid w:val="009B5F21"/>
    <w:rsid w:val="009D2787"/>
    <w:rsid w:val="009D2B29"/>
    <w:rsid w:val="009D482B"/>
    <w:rsid w:val="009E0E36"/>
    <w:rsid w:val="009E16D4"/>
    <w:rsid w:val="009E21AF"/>
    <w:rsid w:val="00A01436"/>
    <w:rsid w:val="00A25B05"/>
    <w:rsid w:val="00A27D94"/>
    <w:rsid w:val="00A33974"/>
    <w:rsid w:val="00A40A41"/>
    <w:rsid w:val="00A64331"/>
    <w:rsid w:val="00A647E2"/>
    <w:rsid w:val="00A76648"/>
    <w:rsid w:val="00A85949"/>
    <w:rsid w:val="00A86DDD"/>
    <w:rsid w:val="00A97CD3"/>
    <w:rsid w:val="00AA0950"/>
    <w:rsid w:val="00AA34BF"/>
    <w:rsid w:val="00AA39C9"/>
    <w:rsid w:val="00AB28CA"/>
    <w:rsid w:val="00AC1BE0"/>
    <w:rsid w:val="00AC2CE0"/>
    <w:rsid w:val="00AC4FF3"/>
    <w:rsid w:val="00AF1026"/>
    <w:rsid w:val="00AF341D"/>
    <w:rsid w:val="00AF6ED9"/>
    <w:rsid w:val="00B124B2"/>
    <w:rsid w:val="00B131B0"/>
    <w:rsid w:val="00B170C3"/>
    <w:rsid w:val="00B4068C"/>
    <w:rsid w:val="00B4426E"/>
    <w:rsid w:val="00B4524D"/>
    <w:rsid w:val="00B45E06"/>
    <w:rsid w:val="00B468EB"/>
    <w:rsid w:val="00B52B33"/>
    <w:rsid w:val="00B67149"/>
    <w:rsid w:val="00B70666"/>
    <w:rsid w:val="00B729BF"/>
    <w:rsid w:val="00B80000"/>
    <w:rsid w:val="00B87968"/>
    <w:rsid w:val="00BA2B9A"/>
    <w:rsid w:val="00BA4A47"/>
    <w:rsid w:val="00BB40C9"/>
    <w:rsid w:val="00BD750F"/>
    <w:rsid w:val="00BE31FD"/>
    <w:rsid w:val="00BF26E4"/>
    <w:rsid w:val="00BF49A0"/>
    <w:rsid w:val="00C24611"/>
    <w:rsid w:val="00C4445D"/>
    <w:rsid w:val="00C73C91"/>
    <w:rsid w:val="00C85195"/>
    <w:rsid w:val="00C86D86"/>
    <w:rsid w:val="00C96C23"/>
    <w:rsid w:val="00CB036C"/>
    <w:rsid w:val="00CB6581"/>
    <w:rsid w:val="00CC6665"/>
    <w:rsid w:val="00CD7EA5"/>
    <w:rsid w:val="00CE53A8"/>
    <w:rsid w:val="00CE78F6"/>
    <w:rsid w:val="00CF1CE8"/>
    <w:rsid w:val="00CF239F"/>
    <w:rsid w:val="00D116C0"/>
    <w:rsid w:val="00D2316B"/>
    <w:rsid w:val="00D25E80"/>
    <w:rsid w:val="00D30133"/>
    <w:rsid w:val="00D4007A"/>
    <w:rsid w:val="00D416D0"/>
    <w:rsid w:val="00D52D9D"/>
    <w:rsid w:val="00D64772"/>
    <w:rsid w:val="00D9163A"/>
    <w:rsid w:val="00D91F2B"/>
    <w:rsid w:val="00D9504E"/>
    <w:rsid w:val="00DA108B"/>
    <w:rsid w:val="00DB0A7F"/>
    <w:rsid w:val="00DC04CB"/>
    <w:rsid w:val="00DC1354"/>
    <w:rsid w:val="00DD2EC6"/>
    <w:rsid w:val="00DE708B"/>
    <w:rsid w:val="00DF0ECD"/>
    <w:rsid w:val="00E04728"/>
    <w:rsid w:val="00E352A8"/>
    <w:rsid w:val="00E40DCD"/>
    <w:rsid w:val="00E5171E"/>
    <w:rsid w:val="00E57873"/>
    <w:rsid w:val="00E66C82"/>
    <w:rsid w:val="00E75F9B"/>
    <w:rsid w:val="00E805AE"/>
    <w:rsid w:val="00E87673"/>
    <w:rsid w:val="00E94F47"/>
    <w:rsid w:val="00EA06B9"/>
    <w:rsid w:val="00EB174F"/>
    <w:rsid w:val="00EB6B71"/>
    <w:rsid w:val="00EB7D98"/>
    <w:rsid w:val="00ED445B"/>
    <w:rsid w:val="00ED5AE0"/>
    <w:rsid w:val="00EF110F"/>
    <w:rsid w:val="00EF3FD5"/>
    <w:rsid w:val="00EF42CB"/>
    <w:rsid w:val="00F024C3"/>
    <w:rsid w:val="00F05A32"/>
    <w:rsid w:val="00F100D5"/>
    <w:rsid w:val="00F11A95"/>
    <w:rsid w:val="00F3568E"/>
    <w:rsid w:val="00F37176"/>
    <w:rsid w:val="00F37666"/>
    <w:rsid w:val="00F51DCA"/>
    <w:rsid w:val="00F55A11"/>
    <w:rsid w:val="00F573D9"/>
    <w:rsid w:val="00F603F1"/>
    <w:rsid w:val="00F621D7"/>
    <w:rsid w:val="00F863FB"/>
    <w:rsid w:val="00F933E2"/>
    <w:rsid w:val="00FB2E15"/>
    <w:rsid w:val="00FC2BCA"/>
    <w:rsid w:val="00FE1EE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15364"/>
  <w15:chartTrackingRefBased/>
  <w15:docId w15:val="{EF54BA1C-A86B-4004-BEDF-DB91D84E0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A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010"/>
  </w:style>
  <w:style w:type="paragraph" w:styleId="Heading1">
    <w:name w:val="heading 1"/>
    <w:basedOn w:val="Normal"/>
    <w:next w:val="Normal"/>
    <w:link w:val="Heading1Char"/>
    <w:uiPriority w:val="9"/>
    <w:qFormat/>
    <w:rsid w:val="00AF341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F341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F341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F341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F341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F341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F341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F341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F341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341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F341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F341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F341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F341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F341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F341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F341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F341D"/>
    <w:rPr>
      <w:rFonts w:eastAsiaTheme="majorEastAsia" w:cstheme="majorBidi"/>
      <w:color w:val="272727" w:themeColor="text1" w:themeTint="D8"/>
    </w:rPr>
  </w:style>
  <w:style w:type="paragraph" w:styleId="Title">
    <w:name w:val="Title"/>
    <w:basedOn w:val="Normal"/>
    <w:next w:val="Normal"/>
    <w:link w:val="TitleChar"/>
    <w:uiPriority w:val="10"/>
    <w:qFormat/>
    <w:rsid w:val="00AF34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341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341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341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F341D"/>
    <w:pPr>
      <w:spacing w:before="160"/>
      <w:jc w:val="center"/>
    </w:pPr>
    <w:rPr>
      <w:i/>
      <w:iCs/>
      <w:color w:val="404040" w:themeColor="text1" w:themeTint="BF"/>
    </w:rPr>
  </w:style>
  <w:style w:type="character" w:customStyle="1" w:styleId="QuoteChar">
    <w:name w:val="Quote Char"/>
    <w:basedOn w:val="DefaultParagraphFont"/>
    <w:link w:val="Quote"/>
    <w:uiPriority w:val="29"/>
    <w:rsid w:val="00AF341D"/>
    <w:rPr>
      <w:i/>
      <w:iCs/>
      <w:color w:val="404040" w:themeColor="text1" w:themeTint="BF"/>
    </w:rPr>
  </w:style>
  <w:style w:type="paragraph" w:styleId="ListParagraph">
    <w:name w:val="List Paragraph"/>
    <w:basedOn w:val="Normal"/>
    <w:uiPriority w:val="34"/>
    <w:qFormat/>
    <w:rsid w:val="00AF341D"/>
    <w:pPr>
      <w:ind w:left="720"/>
      <w:contextualSpacing/>
    </w:pPr>
  </w:style>
  <w:style w:type="character" w:styleId="IntenseEmphasis">
    <w:name w:val="Intense Emphasis"/>
    <w:basedOn w:val="DefaultParagraphFont"/>
    <w:uiPriority w:val="21"/>
    <w:qFormat/>
    <w:rsid w:val="00AF341D"/>
    <w:rPr>
      <w:i/>
      <w:iCs/>
      <w:color w:val="2F5496" w:themeColor="accent1" w:themeShade="BF"/>
    </w:rPr>
  </w:style>
  <w:style w:type="paragraph" w:styleId="IntenseQuote">
    <w:name w:val="Intense Quote"/>
    <w:basedOn w:val="Normal"/>
    <w:next w:val="Normal"/>
    <w:link w:val="IntenseQuoteChar"/>
    <w:uiPriority w:val="30"/>
    <w:qFormat/>
    <w:rsid w:val="00AF341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F341D"/>
    <w:rPr>
      <w:i/>
      <w:iCs/>
      <w:color w:val="2F5496" w:themeColor="accent1" w:themeShade="BF"/>
    </w:rPr>
  </w:style>
  <w:style w:type="character" w:styleId="IntenseReference">
    <w:name w:val="Intense Reference"/>
    <w:basedOn w:val="DefaultParagraphFont"/>
    <w:uiPriority w:val="32"/>
    <w:qFormat/>
    <w:rsid w:val="00AF341D"/>
    <w:rPr>
      <w:b/>
      <w:bCs/>
      <w:smallCaps/>
      <w:color w:val="2F5496" w:themeColor="accent1" w:themeShade="BF"/>
      <w:spacing w:val="5"/>
    </w:rPr>
  </w:style>
  <w:style w:type="paragraph" w:customStyle="1" w:styleId="xmsonormal">
    <w:name w:val="x_msonormal"/>
    <w:basedOn w:val="Normal"/>
    <w:rsid w:val="00B468EB"/>
    <w:pPr>
      <w:spacing w:before="100" w:beforeAutospacing="1" w:after="100" w:afterAutospacing="1" w:line="240" w:lineRule="auto"/>
    </w:pPr>
    <w:rPr>
      <w:rFonts w:ascii="Times New Roman" w:eastAsia="Times New Roman" w:hAnsi="Times New Roman" w:cs="Times New Roman"/>
      <w:kern w:val="0"/>
      <w:sz w:val="24"/>
      <w:szCs w:val="24"/>
      <w:lang w:eastAsia="es-AR"/>
      <w14:ligatures w14:val="none"/>
    </w:rPr>
  </w:style>
  <w:style w:type="paragraph" w:customStyle="1" w:styleId="xgmail-msolistparagraph">
    <w:name w:val="x_gmail-msolistparagraph"/>
    <w:basedOn w:val="Normal"/>
    <w:rsid w:val="00793C7B"/>
    <w:pPr>
      <w:spacing w:before="100" w:beforeAutospacing="1" w:after="100" w:afterAutospacing="1" w:line="240" w:lineRule="auto"/>
    </w:pPr>
    <w:rPr>
      <w:rFonts w:ascii="Times New Roman" w:eastAsia="Times New Roman" w:hAnsi="Times New Roman" w:cs="Times New Roman"/>
      <w:kern w:val="0"/>
      <w:sz w:val="24"/>
      <w:szCs w:val="24"/>
      <w:lang w:eastAsia="es-A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063301">
      <w:bodyDiv w:val="1"/>
      <w:marLeft w:val="0"/>
      <w:marRight w:val="0"/>
      <w:marTop w:val="0"/>
      <w:marBottom w:val="0"/>
      <w:divBdr>
        <w:top w:val="none" w:sz="0" w:space="0" w:color="auto"/>
        <w:left w:val="none" w:sz="0" w:space="0" w:color="auto"/>
        <w:bottom w:val="none" w:sz="0" w:space="0" w:color="auto"/>
        <w:right w:val="none" w:sz="0" w:space="0" w:color="auto"/>
      </w:divBdr>
    </w:div>
    <w:div w:id="941574642">
      <w:bodyDiv w:val="1"/>
      <w:marLeft w:val="0"/>
      <w:marRight w:val="0"/>
      <w:marTop w:val="0"/>
      <w:marBottom w:val="0"/>
      <w:divBdr>
        <w:top w:val="none" w:sz="0" w:space="0" w:color="auto"/>
        <w:left w:val="none" w:sz="0" w:space="0" w:color="auto"/>
        <w:bottom w:val="none" w:sz="0" w:space="0" w:color="auto"/>
        <w:right w:val="none" w:sz="0" w:space="0" w:color="auto"/>
      </w:divBdr>
      <w:divsChild>
        <w:div w:id="852692357">
          <w:marLeft w:val="0"/>
          <w:marRight w:val="0"/>
          <w:marTop w:val="0"/>
          <w:marBottom w:val="0"/>
          <w:divBdr>
            <w:top w:val="none" w:sz="0" w:space="0" w:color="auto"/>
            <w:left w:val="none" w:sz="0" w:space="0" w:color="auto"/>
            <w:bottom w:val="none" w:sz="0" w:space="0" w:color="auto"/>
            <w:right w:val="none" w:sz="0" w:space="0" w:color="auto"/>
          </w:divBdr>
          <w:divsChild>
            <w:div w:id="42562032">
              <w:marLeft w:val="0"/>
              <w:marRight w:val="0"/>
              <w:marTop w:val="0"/>
              <w:marBottom w:val="0"/>
              <w:divBdr>
                <w:top w:val="none" w:sz="0" w:space="0" w:color="auto"/>
                <w:left w:val="none" w:sz="0" w:space="0" w:color="auto"/>
                <w:bottom w:val="none" w:sz="0" w:space="0" w:color="auto"/>
                <w:right w:val="none" w:sz="0" w:space="0" w:color="auto"/>
              </w:divBdr>
              <w:divsChild>
                <w:div w:id="1691296247">
                  <w:marLeft w:val="0"/>
                  <w:marRight w:val="0"/>
                  <w:marTop w:val="0"/>
                  <w:marBottom w:val="0"/>
                  <w:divBdr>
                    <w:top w:val="none" w:sz="0" w:space="0" w:color="auto"/>
                    <w:left w:val="none" w:sz="0" w:space="0" w:color="auto"/>
                    <w:bottom w:val="none" w:sz="0" w:space="0" w:color="auto"/>
                    <w:right w:val="none" w:sz="0" w:space="0" w:color="auto"/>
                  </w:divBdr>
                </w:div>
              </w:divsChild>
            </w:div>
            <w:div w:id="53727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401376">
      <w:bodyDiv w:val="1"/>
      <w:marLeft w:val="0"/>
      <w:marRight w:val="0"/>
      <w:marTop w:val="0"/>
      <w:marBottom w:val="0"/>
      <w:divBdr>
        <w:top w:val="none" w:sz="0" w:space="0" w:color="auto"/>
        <w:left w:val="none" w:sz="0" w:space="0" w:color="auto"/>
        <w:bottom w:val="none" w:sz="0" w:space="0" w:color="auto"/>
        <w:right w:val="none" w:sz="0" w:space="0" w:color="auto"/>
      </w:divBdr>
    </w:div>
    <w:div w:id="1457798608">
      <w:bodyDiv w:val="1"/>
      <w:marLeft w:val="0"/>
      <w:marRight w:val="0"/>
      <w:marTop w:val="0"/>
      <w:marBottom w:val="0"/>
      <w:divBdr>
        <w:top w:val="none" w:sz="0" w:space="0" w:color="auto"/>
        <w:left w:val="none" w:sz="0" w:space="0" w:color="auto"/>
        <w:bottom w:val="none" w:sz="0" w:space="0" w:color="auto"/>
        <w:right w:val="none" w:sz="0" w:space="0" w:color="auto"/>
      </w:divBdr>
    </w:div>
    <w:div w:id="1512260206">
      <w:bodyDiv w:val="1"/>
      <w:marLeft w:val="0"/>
      <w:marRight w:val="0"/>
      <w:marTop w:val="0"/>
      <w:marBottom w:val="0"/>
      <w:divBdr>
        <w:top w:val="none" w:sz="0" w:space="0" w:color="auto"/>
        <w:left w:val="none" w:sz="0" w:space="0" w:color="auto"/>
        <w:bottom w:val="none" w:sz="0" w:space="0" w:color="auto"/>
        <w:right w:val="none" w:sz="0" w:space="0" w:color="auto"/>
      </w:divBdr>
      <w:divsChild>
        <w:div w:id="1715693571">
          <w:marLeft w:val="0"/>
          <w:marRight w:val="0"/>
          <w:marTop w:val="0"/>
          <w:marBottom w:val="0"/>
          <w:divBdr>
            <w:top w:val="none" w:sz="0" w:space="0" w:color="auto"/>
            <w:left w:val="none" w:sz="0" w:space="0" w:color="auto"/>
            <w:bottom w:val="none" w:sz="0" w:space="0" w:color="auto"/>
            <w:right w:val="none" w:sz="0" w:space="0" w:color="auto"/>
          </w:divBdr>
          <w:divsChild>
            <w:div w:id="2130976238">
              <w:marLeft w:val="0"/>
              <w:marRight w:val="0"/>
              <w:marTop w:val="0"/>
              <w:marBottom w:val="0"/>
              <w:divBdr>
                <w:top w:val="none" w:sz="0" w:space="0" w:color="auto"/>
                <w:left w:val="none" w:sz="0" w:space="0" w:color="auto"/>
                <w:bottom w:val="none" w:sz="0" w:space="0" w:color="auto"/>
                <w:right w:val="none" w:sz="0" w:space="0" w:color="auto"/>
              </w:divBdr>
              <w:divsChild>
                <w:div w:id="1177841141">
                  <w:marLeft w:val="0"/>
                  <w:marRight w:val="0"/>
                  <w:marTop w:val="0"/>
                  <w:marBottom w:val="0"/>
                  <w:divBdr>
                    <w:top w:val="none" w:sz="0" w:space="0" w:color="auto"/>
                    <w:left w:val="none" w:sz="0" w:space="0" w:color="auto"/>
                    <w:bottom w:val="none" w:sz="0" w:space="0" w:color="auto"/>
                    <w:right w:val="none" w:sz="0" w:space="0" w:color="auto"/>
                  </w:divBdr>
                </w:div>
              </w:divsChild>
            </w:div>
            <w:div w:id="98469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489155">
      <w:bodyDiv w:val="1"/>
      <w:marLeft w:val="0"/>
      <w:marRight w:val="0"/>
      <w:marTop w:val="0"/>
      <w:marBottom w:val="0"/>
      <w:divBdr>
        <w:top w:val="none" w:sz="0" w:space="0" w:color="auto"/>
        <w:left w:val="none" w:sz="0" w:space="0" w:color="auto"/>
        <w:bottom w:val="none" w:sz="0" w:space="0" w:color="auto"/>
        <w:right w:val="none" w:sz="0" w:space="0" w:color="auto"/>
      </w:divBdr>
    </w:div>
    <w:div w:id="211458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11</Pages>
  <Words>3846</Words>
  <Characters>21272</Characters>
  <Application>Microsoft Office Word</Application>
  <DocSecurity>0</DocSecurity>
  <Lines>1012</Lines>
  <Paragraphs>644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Lorena</dc:creator>
  <cp:keywords/>
  <dc:description/>
  <cp:lastModifiedBy>Gustavo Grinberg</cp:lastModifiedBy>
  <cp:revision>49</cp:revision>
  <dcterms:created xsi:type="dcterms:W3CDTF">2025-08-18T09:45:00Z</dcterms:created>
  <dcterms:modified xsi:type="dcterms:W3CDTF">2025-08-18T12:15:00Z</dcterms:modified>
</cp:coreProperties>
</file>